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98FA9" w14:textId="52D5920B" w:rsidR="00E802F4" w:rsidRDefault="00E802F4" w:rsidP="00E802F4">
      <w:pPr>
        <w:jc w:val="center"/>
        <w:rPr>
          <w:b/>
          <w:bCs/>
          <w:sz w:val="40"/>
          <w:szCs w:val="40"/>
        </w:rPr>
      </w:pPr>
      <w:r>
        <w:rPr>
          <w:noProof/>
        </w:rPr>
        <w:drawing>
          <wp:anchor distT="0" distB="0" distL="114300" distR="114300" simplePos="0" relativeHeight="251658240" behindDoc="1" locked="0" layoutInCell="1" allowOverlap="1" wp14:anchorId="389EC07C" wp14:editId="6663ECC3">
            <wp:simplePos x="0" y="0"/>
            <wp:positionH relativeFrom="column">
              <wp:posOffset>-252095</wp:posOffset>
            </wp:positionH>
            <wp:positionV relativeFrom="paragraph">
              <wp:posOffset>7620</wp:posOffset>
            </wp:positionV>
            <wp:extent cx="3163226" cy="1508760"/>
            <wp:effectExtent l="0" t="0" r="0" b="0"/>
            <wp:wrapTight wrapText="bothSides">
              <wp:wrapPolygon edited="0">
                <wp:start x="0" y="0"/>
                <wp:lineTo x="0" y="21273"/>
                <wp:lineTo x="21466" y="21273"/>
                <wp:lineTo x="21466" y="0"/>
                <wp:lineTo x="0" y="0"/>
              </wp:wrapPolygon>
            </wp:wrapTight>
            <wp:docPr id="4" name="Image 3">
              <a:extLst xmlns:a="http://schemas.openxmlformats.org/drawingml/2006/main">
                <a:ext uri="{FF2B5EF4-FFF2-40B4-BE49-F238E27FC236}">
                  <a16:creationId xmlns:a16="http://schemas.microsoft.com/office/drawing/2014/main" id="{088D2FA4-8C2D-4086-DCA4-B5053B5AFC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
                      <a:extLst>
                        <a:ext uri="{FF2B5EF4-FFF2-40B4-BE49-F238E27FC236}">
                          <a16:creationId xmlns:a16="http://schemas.microsoft.com/office/drawing/2014/main" id="{088D2FA4-8C2D-4086-DCA4-B5053B5AFC43}"/>
                        </a:ext>
                      </a:extLst>
                    </pic:cNvPr>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163226" cy="1508760"/>
                    </a:xfrm>
                    <a:prstGeom prst="rect">
                      <a:avLst/>
                    </a:prstGeom>
                  </pic:spPr>
                </pic:pic>
              </a:graphicData>
            </a:graphic>
            <wp14:sizeRelH relativeFrom="page">
              <wp14:pctWidth>0</wp14:pctWidth>
            </wp14:sizeRelH>
            <wp14:sizeRelV relativeFrom="page">
              <wp14:pctHeight>0</wp14:pctHeight>
            </wp14:sizeRelV>
          </wp:anchor>
        </w:drawing>
      </w:r>
    </w:p>
    <w:p w14:paraId="24C9BD52" w14:textId="257D4BE7" w:rsidR="006F03C3" w:rsidRPr="00E802F4" w:rsidRDefault="00E802F4" w:rsidP="00E802F4">
      <w:pPr>
        <w:jc w:val="center"/>
        <w:rPr>
          <w:b/>
          <w:bCs/>
          <w:sz w:val="40"/>
          <w:szCs w:val="40"/>
        </w:rPr>
      </w:pPr>
      <w:r w:rsidRPr="00E802F4">
        <w:rPr>
          <w:b/>
          <w:bCs/>
          <w:sz w:val="40"/>
          <w:szCs w:val="40"/>
        </w:rPr>
        <w:t>NOTE SYNTHETIQUE GLOBALE</w:t>
      </w:r>
    </w:p>
    <w:p w14:paraId="1D228B22" w14:textId="49EEAEE5" w:rsidR="00E802F4" w:rsidRDefault="00E802F4" w:rsidP="00E802F4">
      <w:pPr>
        <w:jc w:val="center"/>
        <w:rPr>
          <w:b/>
          <w:bCs/>
          <w:sz w:val="40"/>
          <w:szCs w:val="40"/>
        </w:rPr>
      </w:pPr>
      <w:r w:rsidRPr="00E802F4">
        <w:rPr>
          <w:b/>
          <w:bCs/>
          <w:sz w:val="40"/>
          <w:szCs w:val="40"/>
        </w:rPr>
        <w:t>BUDGETS PRIMITIFS 202</w:t>
      </w:r>
      <w:r w:rsidR="00E640DD">
        <w:rPr>
          <w:b/>
          <w:bCs/>
          <w:sz w:val="40"/>
          <w:szCs w:val="40"/>
        </w:rPr>
        <w:t>6</w:t>
      </w:r>
    </w:p>
    <w:p w14:paraId="398596C5" w14:textId="77777777" w:rsidR="00E802F4" w:rsidRDefault="00E802F4" w:rsidP="00E802F4">
      <w:pPr>
        <w:jc w:val="center"/>
        <w:rPr>
          <w:b/>
          <w:bCs/>
          <w:sz w:val="40"/>
          <w:szCs w:val="40"/>
        </w:rPr>
      </w:pPr>
    </w:p>
    <w:p w14:paraId="3E488B7F" w14:textId="77777777" w:rsidR="00E802F4" w:rsidRDefault="00E802F4" w:rsidP="00E802F4">
      <w:pPr>
        <w:jc w:val="center"/>
        <w:rPr>
          <w:b/>
          <w:bCs/>
          <w:sz w:val="40"/>
          <w:szCs w:val="40"/>
        </w:rPr>
      </w:pPr>
    </w:p>
    <w:p w14:paraId="6CC8EB1C" w14:textId="0859B49E" w:rsidR="00E802F4" w:rsidRDefault="00E802F4" w:rsidP="00E802F4">
      <w:pPr>
        <w:rPr>
          <w:b/>
          <w:bCs/>
          <w:sz w:val="40"/>
          <w:szCs w:val="40"/>
          <w:u w:val="single"/>
        </w:rPr>
      </w:pPr>
      <w:r w:rsidRPr="00E802F4">
        <w:rPr>
          <w:b/>
          <w:bCs/>
          <w:sz w:val="40"/>
          <w:szCs w:val="40"/>
          <w:u w:val="single"/>
        </w:rPr>
        <w:t xml:space="preserve">Structure des budgets communautaires </w:t>
      </w:r>
    </w:p>
    <w:p w14:paraId="6FDE0F3A" w14:textId="1678A28F" w:rsidR="00E802F4" w:rsidRDefault="00E802F4" w:rsidP="007622EE">
      <w:pPr>
        <w:jc w:val="both"/>
        <w:rPr>
          <w:sz w:val="24"/>
          <w:szCs w:val="24"/>
        </w:rPr>
      </w:pPr>
      <w:r>
        <w:rPr>
          <w:sz w:val="24"/>
          <w:szCs w:val="24"/>
        </w:rPr>
        <w:t xml:space="preserve">La majeure partie des activités de Charlieu Belmont Communauté </w:t>
      </w:r>
      <w:r w:rsidR="007622EE">
        <w:rPr>
          <w:sz w:val="24"/>
          <w:szCs w:val="24"/>
        </w:rPr>
        <w:t>est</w:t>
      </w:r>
      <w:r>
        <w:rPr>
          <w:sz w:val="24"/>
          <w:szCs w:val="24"/>
        </w:rPr>
        <w:t xml:space="preserve"> retracée comptablement sur son budget principal, une ventilation par fonction permet la tenue d’une comptabilité analytique par activité (ex : médiathèque, tourisme, santé, économie, projet alimentaire territorial…) ;</w:t>
      </w:r>
    </w:p>
    <w:p w14:paraId="7DEA8E87" w14:textId="14A1B00F" w:rsidR="00E802F4" w:rsidRDefault="00E802F4" w:rsidP="007622EE">
      <w:pPr>
        <w:jc w:val="both"/>
        <w:rPr>
          <w:sz w:val="24"/>
          <w:szCs w:val="24"/>
        </w:rPr>
      </w:pPr>
      <w:r>
        <w:rPr>
          <w:sz w:val="24"/>
          <w:szCs w:val="24"/>
        </w:rPr>
        <w:t>7 budgets annexes de zone</w:t>
      </w:r>
      <w:r w:rsidR="007622EE">
        <w:rPr>
          <w:sz w:val="24"/>
          <w:szCs w:val="24"/>
        </w:rPr>
        <w:t xml:space="preserve"> sont également exécutés annuellement depuis 2018 : un par zone à Pouilly sous Charlieu, Charlieu</w:t>
      </w:r>
      <w:r w:rsidR="00975D27">
        <w:rPr>
          <w:sz w:val="24"/>
          <w:szCs w:val="24"/>
        </w:rPr>
        <w:t>,</w:t>
      </w:r>
      <w:r w:rsidR="007622EE">
        <w:rPr>
          <w:sz w:val="24"/>
          <w:szCs w:val="24"/>
        </w:rPr>
        <w:t xml:space="preserve"> St Nizier sous Charlieu</w:t>
      </w:r>
      <w:r w:rsidR="00975D27">
        <w:rPr>
          <w:sz w:val="24"/>
          <w:szCs w:val="24"/>
        </w:rPr>
        <w:t>,</w:t>
      </w:r>
      <w:r w:rsidR="007622EE">
        <w:rPr>
          <w:sz w:val="24"/>
          <w:szCs w:val="24"/>
        </w:rPr>
        <w:t xml:space="preserve"> Briennon</w:t>
      </w:r>
      <w:r w:rsidR="00975D27">
        <w:rPr>
          <w:sz w:val="24"/>
          <w:szCs w:val="24"/>
        </w:rPr>
        <w:t>,</w:t>
      </w:r>
      <w:r w:rsidR="007622EE">
        <w:rPr>
          <w:sz w:val="24"/>
          <w:szCs w:val="24"/>
        </w:rPr>
        <w:t xml:space="preserve"> Belmont de la Loire</w:t>
      </w:r>
      <w:r w:rsidR="00975D27">
        <w:rPr>
          <w:sz w:val="24"/>
          <w:szCs w:val="24"/>
        </w:rPr>
        <w:t>,</w:t>
      </w:r>
      <w:r w:rsidR="007622EE">
        <w:rPr>
          <w:sz w:val="24"/>
          <w:szCs w:val="24"/>
        </w:rPr>
        <w:t xml:space="preserve"> St Denis de Caban</w:t>
      </w:r>
      <w:r w:rsidR="00975D27">
        <w:rPr>
          <w:sz w:val="24"/>
          <w:szCs w:val="24"/>
        </w:rPr>
        <w:t>n</w:t>
      </w:r>
      <w:r w:rsidR="007622EE">
        <w:rPr>
          <w:sz w:val="24"/>
          <w:szCs w:val="24"/>
        </w:rPr>
        <w:t>e et Cuinzier.</w:t>
      </w:r>
      <w:r w:rsidR="00E640DD">
        <w:rPr>
          <w:sz w:val="24"/>
          <w:szCs w:val="24"/>
        </w:rPr>
        <w:t xml:space="preserve"> Toutefois par diverses délibérations le Conseil Communautaire a fait le choix de les clôturer au 31/12/2025 afin de créer un nouveau budget unique pour les 5 zones où subsiste un stock de terrains à commercialiser.</w:t>
      </w:r>
    </w:p>
    <w:p w14:paraId="19E29476" w14:textId="63757225" w:rsidR="007622EE" w:rsidRDefault="007622EE" w:rsidP="007622EE">
      <w:pPr>
        <w:jc w:val="both"/>
        <w:rPr>
          <w:sz w:val="24"/>
          <w:szCs w:val="24"/>
        </w:rPr>
      </w:pPr>
      <w:r>
        <w:rPr>
          <w:sz w:val="24"/>
          <w:szCs w:val="24"/>
        </w:rPr>
        <w:t>Par choix la collectivité a cré</w:t>
      </w:r>
      <w:r w:rsidR="00975D27">
        <w:rPr>
          <w:sz w:val="24"/>
          <w:szCs w:val="24"/>
        </w:rPr>
        <w:t>é</w:t>
      </w:r>
      <w:r>
        <w:rPr>
          <w:sz w:val="24"/>
          <w:szCs w:val="24"/>
        </w:rPr>
        <w:t xml:space="preserve"> 4 budgets annexes administratifs : pour le secteur petite enfance l’enfance et la jeunesse, pour l’aménagement et la gestion de la piscine nouvelle, pour la réalisation et la commercialisation d’ateliers partagés </w:t>
      </w:r>
      <w:r w:rsidR="00E640DD">
        <w:rPr>
          <w:sz w:val="24"/>
          <w:szCs w:val="24"/>
        </w:rPr>
        <w:t xml:space="preserve">(clôturé aussi au 31/12/2025) </w:t>
      </w:r>
      <w:r>
        <w:rPr>
          <w:sz w:val="24"/>
          <w:szCs w:val="24"/>
        </w:rPr>
        <w:t>et pour la gestion du service commun de l’instruction des droits du sol (pour le compte des communes adhérentes).</w:t>
      </w:r>
    </w:p>
    <w:p w14:paraId="15C14815" w14:textId="65CE2317" w:rsidR="00E802F4" w:rsidRDefault="007622EE" w:rsidP="007622EE">
      <w:pPr>
        <w:jc w:val="both"/>
        <w:rPr>
          <w:sz w:val="24"/>
          <w:szCs w:val="24"/>
        </w:rPr>
      </w:pPr>
      <w:r>
        <w:rPr>
          <w:sz w:val="24"/>
          <w:szCs w:val="24"/>
        </w:rPr>
        <w:t xml:space="preserve">Par ailleurs la collectivité </w:t>
      </w:r>
      <w:r w:rsidR="00975D27">
        <w:rPr>
          <w:sz w:val="24"/>
          <w:szCs w:val="24"/>
        </w:rPr>
        <w:t>gér</w:t>
      </w:r>
      <w:r>
        <w:rPr>
          <w:sz w:val="24"/>
          <w:szCs w:val="24"/>
        </w:rPr>
        <w:t xml:space="preserve">ant des services publics dits industriels et commerciaux, elle est tenue d’établir pour chacun </w:t>
      </w:r>
      <w:r w:rsidR="00975D27">
        <w:rPr>
          <w:sz w:val="24"/>
          <w:szCs w:val="24"/>
        </w:rPr>
        <w:t>un</w:t>
      </w:r>
      <w:r>
        <w:rPr>
          <w:sz w:val="24"/>
          <w:szCs w:val="24"/>
        </w:rPr>
        <w:t xml:space="preserve"> budget distinct indépendant en termes de trésorerie des autres budgets, soumis à la norme comptable M4</w:t>
      </w:r>
      <w:r w:rsidR="00FF296E">
        <w:rPr>
          <w:sz w:val="24"/>
          <w:szCs w:val="24"/>
        </w:rPr>
        <w:t>,</w:t>
      </w:r>
      <w:r w:rsidR="00E640DD">
        <w:rPr>
          <w:sz w:val="24"/>
          <w:szCs w:val="24"/>
        </w:rPr>
        <w:t xml:space="preserve"> avec pour 2026 un nouveau budget eau potable.</w:t>
      </w:r>
    </w:p>
    <w:p w14:paraId="7DE76A7A" w14:textId="63210814" w:rsidR="00E640DD" w:rsidRDefault="00E640DD" w:rsidP="007622EE">
      <w:pPr>
        <w:jc w:val="both"/>
        <w:rPr>
          <w:sz w:val="24"/>
          <w:szCs w:val="24"/>
        </w:rPr>
      </w:pPr>
      <w:r>
        <w:rPr>
          <w:sz w:val="24"/>
          <w:szCs w:val="24"/>
        </w:rPr>
        <w:t>Ainsi en 2025 la structure des budgets de la collectivité s’articulait ainsi :</w:t>
      </w:r>
    </w:p>
    <w:p w14:paraId="5CABDA8C" w14:textId="2C775440" w:rsidR="007622EE" w:rsidRDefault="00E640DD" w:rsidP="00E802F4">
      <w:pPr>
        <w:rPr>
          <w:sz w:val="24"/>
          <w:szCs w:val="24"/>
        </w:rPr>
      </w:pPr>
      <w:r w:rsidRPr="00E640DD">
        <w:rPr>
          <w:noProof/>
          <w:sz w:val="24"/>
          <w:szCs w:val="24"/>
        </w:rPr>
        <w:drawing>
          <wp:inline distT="0" distB="0" distL="0" distR="0" wp14:anchorId="78E7D7B7" wp14:editId="29043637">
            <wp:extent cx="6645910" cy="3555365"/>
            <wp:effectExtent l="0" t="0" r="2540" b="6985"/>
            <wp:docPr id="3169883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988371" name=""/>
                    <pic:cNvPicPr/>
                  </pic:nvPicPr>
                  <pic:blipFill>
                    <a:blip r:embed="rId8"/>
                    <a:stretch>
                      <a:fillRect/>
                    </a:stretch>
                  </pic:blipFill>
                  <pic:spPr>
                    <a:xfrm>
                      <a:off x="0" y="0"/>
                      <a:ext cx="6645910" cy="3555365"/>
                    </a:xfrm>
                    <a:prstGeom prst="rect">
                      <a:avLst/>
                    </a:prstGeom>
                  </pic:spPr>
                </pic:pic>
              </a:graphicData>
            </a:graphic>
          </wp:inline>
        </w:drawing>
      </w:r>
    </w:p>
    <w:p w14:paraId="6A0B0972" w14:textId="53671A70" w:rsidR="00E640DD" w:rsidRDefault="00E640DD" w:rsidP="00E802F4">
      <w:pPr>
        <w:rPr>
          <w:sz w:val="24"/>
          <w:szCs w:val="24"/>
        </w:rPr>
      </w:pPr>
      <w:r>
        <w:rPr>
          <w:sz w:val="24"/>
          <w:szCs w:val="24"/>
        </w:rPr>
        <w:lastRenderedPageBreak/>
        <w:t>Les évolutions amènent la structuration suivante pour 2026 :</w:t>
      </w:r>
    </w:p>
    <w:p w14:paraId="2D18AEB6" w14:textId="59969664" w:rsidR="00E640DD" w:rsidRDefault="00E640DD" w:rsidP="00E802F4">
      <w:pPr>
        <w:rPr>
          <w:sz w:val="24"/>
          <w:szCs w:val="24"/>
        </w:rPr>
      </w:pPr>
      <w:r>
        <w:rPr>
          <w:noProof/>
          <w:sz w:val="24"/>
          <w:szCs w:val="24"/>
        </w:rPr>
        <w:drawing>
          <wp:inline distT="0" distB="0" distL="0" distR="0" wp14:anchorId="16E13494" wp14:editId="5545F857">
            <wp:extent cx="6610782" cy="3923030"/>
            <wp:effectExtent l="0" t="0" r="0" b="1270"/>
            <wp:docPr id="173999864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26080" cy="3932108"/>
                    </a:xfrm>
                    <a:prstGeom prst="rect">
                      <a:avLst/>
                    </a:prstGeom>
                    <a:noFill/>
                  </pic:spPr>
                </pic:pic>
              </a:graphicData>
            </a:graphic>
          </wp:inline>
        </w:drawing>
      </w:r>
    </w:p>
    <w:p w14:paraId="60CDC2D2" w14:textId="77777777" w:rsidR="00E640DD" w:rsidRPr="00DC4E0C" w:rsidRDefault="00E640DD" w:rsidP="00E802F4">
      <w:pPr>
        <w:rPr>
          <w:sz w:val="24"/>
          <w:szCs w:val="24"/>
        </w:rPr>
      </w:pPr>
    </w:p>
    <w:p w14:paraId="47BBC873" w14:textId="54EEE345" w:rsidR="00E802F4" w:rsidRPr="00E802F4" w:rsidRDefault="00E802F4" w:rsidP="006A5EE9">
      <w:pPr>
        <w:jc w:val="both"/>
        <w:rPr>
          <w:b/>
          <w:bCs/>
          <w:sz w:val="40"/>
          <w:szCs w:val="40"/>
          <w:u w:val="single"/>
        </w:rPr>
      </w:pPr>
      <w:r w:rsidRPr="00E802F4">
        <w:rPr>
          <w:b/>
          <w:bCs/>
          <w:sz w:val="40"/>
          <w:szCs w:val="40"/>
          <w:u w:val="single"/>
        </w:rPr>
        <w:t>Les principales Ressources et Dépenses du budget principal</w:t>
      </w:r>
    </w:p>
    <w:p w14:paraId="506723FC" w14:textId="6577D555" w:rsidR="00E802F4" w:rsidRDefault="002201F7" w:rsidP="006A5EE9">
      <w:pPr>
        <w:jc w:val="both"/>
        <w:rPr>
          <w:sz w:val="24"/>
          <w:szCs w:val="24"/>
        </w:rPr>
      </w:pPr>
      <w:r>
        <w:rPr>
          <w:sz w:val="24"/>
          <w:szCs w:val="24"/>
        </w:rPr>
        <w:t xml:space="preserve">Ce budget susceptible </w:t>
      </w:r>
      <w:r w:rsidR="00E2745C">
        <w:rPr>
          <w:sz w:val="24"/>
          <w:szCs w:val="24"/>
        </w:rPr>
        <w:t>d’</w:t>
      </w:r>
      <w:r>
        <w:rPr>
          <w:sz w:val="24"/>
          <w:szCs w:val="24"/>
        </w:rPr>
        <w:t xml:space="preserve">alimenter aussi les autres budgets dits administratifs tient ses ressources </w:t>
      </w:r>
      <w:r w:rsidR="002A54A0">
        <w:rPr>
          <w:sz w:val="24"/>
          <w:szCs w:val="24"/>
        </w:rPr>
        <w:t xml:space="preserve">de fonctionnement </w:t>
      </w:r>
      <w:r>
        <w:rPr>
          <w:sz w:val="24"/>
          <w:szCs w:val="24"/>
        </w:rPr>
        <w:t>principalement de la fiscalité locale</w:t>
      </w:r>
      <w:r w:rsidR="00C35884">
        <w:rPr>
          <w:sz w:val="24"/>
          <w:szCs w:val="24"/>
        </w:rPr>
        <w:t xml:space="preserve"> (</w:t>
      </w:r>
      <w:r w:rsidR="00712FED">
        <w:rPr>
          <w:sz w:val="24"/>
          <w:szCs w:val="24"/>
        </w:rPr>
        <w:t>28.29</w:t>
      </w:r>
      <w:r w:rsidR="00272F8F">
        <w:rPr>
          <w:sz w:val="24"/>
          <w:szCs w:val="24"/>
        </w:rPr>
        <w:t xml:space="preserve">% </w:t>
      </w:r>
      <w:r w:rsidR="00C35884">
        <w:rPr>
          <w:sz w:val="24"/>
          <w:szCs w:val="24"/>
        </w:rPr>
        <w:t>%)</w:t>
      </w:r>
      <w:r>
        <w:rPr>
          <w:sz w:val="24"/>
          <w:szCs w:val="24"/>
        </w:rPr>
        <w:t xml:space="preserve">, </w:t>
      </w:r>
      <w:r w:rsidR="00712FED">
        <w:rPr>
          <w:sz w:val="24"/>
          <w:szCs w:val="24"/>
        </w:rPr>
        <w:t xml:space="preserve">de reversements de fiscalité ou ressources nationales telles que des fractions de TVA (44.55%) </w:t>
      </w:r>
      <w:r>
        <w:rPr>
          <w:sz w:val="24"/>
          <w:szCs w:val="24"/>
        </w:rPr>
        <w:t xml:space="preserve">des dotations </w:t>
      </w:r>
      <w:r w:rsidR="00712FED">
        <w:rPr>
          <w:sz w:val="24"/>
          <w:szCs w:val="24"/>
        </w:rPr>
        <w:t xml:space="preserve">et compensations </w:t>
      </w:r>
      <w:r>
        <w:rPr>
          <w:sz w:val="24"/>
          <w:szCs w:val="24"/>
        </w:rPr>
        <w:t>de l’Etat</w:t>
      </w:r>
      <w:r w:rsidR="00C35884">
        <w:rPr>
          <w:sz w:val="24"/>
          <w:szCs w:val="24"/>
        </w:rPr>
        <w:t xml:space="preserve"> (</w:t>
      </w:r>
      <w:r w:rsidR="00712FED">
        <w:rPr>
          <w:sz w:val="24"/>
          <w:szCs w:val="24"/>
        </w:rPr>
        <w:t>20.71</w:t>
      </w:r>
      <w:r w:rsidR="00C35884">
        <w:rPr>
          <w:sz w:val="24"/>
          <w:szCs w:val="24"/>
        </w:rPr>
        <w:t>%)</w:t>
      </w:r>
      <w:r>
        <w:rPr>
          <w:sz w:val="24"/>
          <w:szCs w:val="24"/>
        </w:rPr>
        <w:t xml:space="preserve">, </w:t>
      </w:r>
      <w:r w:rsidR="00712FED">
        <w:rPr>
          <w:sz w:val="24"/>
          <w:szCs w:val="24"/>
        </w:rPr>
        <w:t xml:space="preserve">de soutiens </w:t>
      </w:r>
      <w:r>
        <w:rPr>
          <w:sz w:val="24"/>
          <w:szCs w:val="24"/>
        </w:rPr>
        <w:t>d</w:t>
      </w:r>
      <w:r w:rsidR="00AC60D1">
        <w:rPr>
          <w:sz w:val="24"/>
          <w:szCs w:val="24"/>
        </w:rPr>
        <w:t xml:space="preserve">’autres financeurs, </w:t>
      </w:r>
      <w:r w:rsidR="00FF296E">
        <w:rPr>
          <w:sz w:val="24"/>
          <w:szCs w:val="24"/>
        </w:rPr>
        <w:t>d</w:t>
      </w:r>
      <w:r w:rsidR="00AC60D1">
        <w:rPr>
          <w:sz w:val="24"/>
          <w:szCs w:val="24"/>
        </w:rPr>
        <w:t xml:space="preserve">es revenus des immeubles </w:t>
      </w:r>
      <w:r w:rsidR="00712FED">
        <w:rPr>
          <w:sz w:val="24"/>
          <w:szCs w:val="24"/>
        </w:rPr>
        <w:t xml:space="preserve">et </w:t>
      </w:r>
      <w:r w:rsidR="00FF296E">
        <w:rPr>
          <w:sz w:val="24"/>
          <w:szCs w:val="24"/>
        </w:rPr>
        <w:t xml:space="preserve">du </w:t>
      </w:r>
      <w:r w:rsidR="00712FED">
        <w:rPr>
          <w:sz w:val="24"/>
          <w:szCs w:val="24"/>
        </w:rPr>
        <w:t>remboursement de frais par les budgets annexes</w:t>
      </w:r>
      <w:r w:rsidR="00AC60D1">
        <w:rPr>
          <w:sz w:val="24"/>
          <w:szCs w:val="24"/>
        </w:rPr>
        <w:t>.</w:t>
      </w:r>
    </w:p>
    <w:p w14:paraId="7353FC69" w14:textId="39F7B2E1" w:rsidR="002A54A0" w:rsidRDefault="002A54A0" w:rsidP="006A5EE9">
      <w:pPr>
        <w:spacing w:after="0"/>
        <w:jc w:val="both"/>
        <w:rPr>
          <w:sz w:val="24"/>
          <w:szCs w:val="24"/>
        </w:rPr>
      </w:pPr>
      <w:r>
        <w:rPr>
          <w:sz w:val="24"/>
          <w:szCs w:val="24"/>
        </w:rPr>
        <w:t>Les principaux postes de dépenses en fonctionnement sont répartis ainsi :</w:t>
      </w:r>
    </w:p>
    <w:p w14:paraId="0AFC9CD6" w14:textId="493C540C" w:rsidR="002A54A0" w:rsidRDefault="002A54A0" w:rsidP="006A5EE9">
      <w:pPr>
        <w:spacing w:after="0"/>
        <w:jc w:val="both"/>
        <w:rPr>
          <w:sz w:val="24"/>
          <w:szCs w:val="24"/>
        </w:rPr>
      </w:pPr>
      <w:r>
        <w:rPr>
          <w:sz w:val="24"/>
          <w:szCs w:val="24"/>
        </w:rPr>
        <w:t xml:space="preserve">- les charges à caractère général (énergie, fournitures, entretien, assurances, charges locatives, transports, communication…) </w:t>
      </w:r>
      <w:r w:rsidR="00712FED">
        <w:rPr>
          <w:sz w:val="24"/>
          <w:szCs w:val="24"/>
        </w:rPr>
        <w:t>13.56</w:t>
      </w:r>
      <w:r w:rsidR="00272F8F">
        <w:rPr>
          <w:sz w:val="24"/>
          <w:szCs w:val="24"/>
        </w:rPr>
        <w:t xml:space="preserve"> </w:t>
      </w:r>
      <w:r>
        <w:rPr>
          <w:sz w:val="24"/>
          <w:szCs w:val="24"/>
        </w:rPr>
        <w:t>%</w:t>
      </w:r>
    </w:p>
    <w:p w14:paraId="6D736269" w14:textId="6A6FC622" w:rsidR="002A54A0" w:rsidRDefault="002A54A0" w:rsidP="006A5EE9">
      <w:pPr>
        <w:spacing w:after="0"/>
        <w:jc w:val="both"/>
        <w:rPr>
          <w:sz w:val="24"/>
          <w:szCs w:val="24"/>
        </w:rPr>
      </w:pPr>
      <w:r>
        <w:rPr>
          <w:sz w:val="24"/>
          <w:szCs w:val="24"/>
        </w:rPr>
        <w:t xml:space="preserve">- les charges de personnel </w:t>
      </w:r>
      <w:r w:rsidR="00712FED">
        <w:rPr>
          <w:sz w:val="24"/>
          <w:szCs w:val="24"/>
        </w:rPr>
        <w:t>15.87</w:t>
      </w:r>
      <w:r w:rsidR="00272F8F">
        <w:rPr>
          <w:sz w:val="24"/>
          <w:szCs w:val="24"/>
        </w:rPr>
        <w:t xml:space="preserve"> </w:t>
      </w:r>
      <w:r>
        <w:rPr>
          <w:sz w:val="24"/>
          <w:szCs w:val="24"/>
        </w:rPr>
        <w:t>%</w:t>
      </w:r>
    </w:p>
    <w:p w14:paraId="656CBB09" w14:textId="3FF67378" w:rsidR="002A54A0" w:rsidRDefault="002A54A0" w:rsidP="006A5EE9">
      <w:pPr>
        <w:spacing w:after="0"/>
        <w:jc w:val="both"/>
        <w:rPr>
          <w:sz w:val="24"/>
          <w:szCs w:val="24"/>
        </w:rPr>
      </w:pPr>
      <w:r>
        <w:rPr>
          <w:sz w:val="24"/>
          <w:szCs w:val="24"/>
        </w:rPr>
        <w:t>- les charges liées à la dette (intérêts) </w:t>
      </w:r>
      <w:r w:rsidR="00712FED">
        <w:rPr>
          <w:sz w:val="24"/>
          <w:szCs w:val="24"/>
        </w:rPr>
        <w:t xml:space="preserve">1.79 </w:t>
      </w:r>
      <w:r>
        <w:rPr>
          <w:sz w:val="24"/>
          <w:szCs w:val="24"/>
        </w:rPr>
        <w:t>%</w:t>
      </w:r>
    </w:p>
    <w:p w14:paraId="24C3FB60" w14:textId="3B919A6C" w:rsidR="002A54A0" w:rsidRDefault="002A54A0" w:rsidP="006A5EE9">
      <w:pPr>
        <w:spacing w:after="0"/>
        <w:jc w:val="both"/>
        <w:rPr>
          <w:sz w:val="24"/>
          <w:szCs w:val="24"/>
        </w:rPr>
      </w:pPr>
      <w:r>
        <w:rPr>
          <w:sz w:val="24"/>
          <w:szCs w:val="24"/>
        </w:rPr>
        <w:t xml:space="preserve">- les reversements de fiscalité aux communes au titre des attributions de compensation </w:t>
      </w:r>
      <w:r w:rsidR="00712FED">
        <w:rPr>
          <w:sz w:val="24"/>
          <w:szCs w:val="24"/>
        </w:rPr>
        <w:t>22.56</w:t>
      </w:r>
      <w:r w:rsidR="00272F8F">
        <w:rPr>
          <w:sz w:val="24"/>
          <w:szCs w:val="24"/>
        </w:rPr>
        <w:t xml:space="preserve"> </w:t>
      </w:r>
      <w:r>
        <w:rPr>
          <w:sz w:val="24"/>
          <w:szCs w:val="24"/>
        </w:rPr>
        <w:t xml:space="preserve">% et le reversement de fiscalité à l’Etat au titre du FNGIR </w:t>
      </w:r>
      <w:r w:rsidR="00712FED">
        <w:rPr>
          <w:sz w:val="24"/>
          <w:szCs w:val="24"/>
        </w:rPr>
        <w:t>7.82</w:t>
      </w:r>
      <w:r w:rsidR="00272F8F">
        <w:rPr>
          <w:sz w:val="24"/>
          <w:szCs w:val="24"/>
        </w:rPr>
        <w:t xml:space="preserve"> </w:t>
      </w:r>
      <w:r>
        <w:rPr>
          <w:sz w:val="24"/>
          <w:szCs w:val="24"/>
        </w:rPr>
        <w:t>%</w:t>
      </w:r>
    </w:p>
    <w:p w14:paraId="5A8442F2" w14:textId="6BEDA72B" w:rsidR="002A54A0" w:rsidRDefault="002A54A0" w:rsidP="006A5EE9">
      <w:pPr>
        <w:spacing w:after="0"/>
        <w:jc w:val="both"/>
        <w:rPr>
          <w:sz w:val="24"/>
          <w:szCs w:val="24"/>
        </w:rPr>
      </w:pPr>
      <w:r>
        <w:rPr>
          <w:sz w:val="24"/>
          <w:szCs w:val="24"/>
        </w:rPr>
        <w:t xml:space="preserve">- les participations financières versées aux syndicats (gestionnaires de contrats de rivières, du schéma de cohérence territoriale) et à l’office de tourisme </w:t>
      </w:r>
      <w:r w:rsidR="00AB4FFE">
        <w:rPr>
          <w:sz w:val="24"/>
          <w:szCs w:val="24"/>
        </w:rPr>
        <w:t>4.77</w:t>
      </w:r>
      <w:r w:rsidR="00272F8F">
        <w:rPr>
          <w:sz w:val="24"/>
          <w:szCs w:val="24"/>
        </w:rPr>
        <w:t xml:space="preserve"> </w:t>
      </w:r>
      <w:r>
        <w:rPr>
          <w:sz w:val="24"/>
          <w:szCs w:val="24"/>
        </w:rPr>
        <w:t>%</w:t>
      </w:r>
    </w:p>
    <w:p w14:paraId="094B36F4" w14:textId="44FA857A" w:rsidR="002A54A0" w:rsidRDefault="002A54A0" w:rsidP="006A5EE9">
      <w:pPr>
        <w:spacing w:after="0"/>
        <w:jc w:val="both"/>
        <w:rPr>
          <w:sz w:val="24"/>
          <w:szCs w:val="24"/>
        </w:rPr>
      </w:pPr>
      <w:r>
        <w:rPr>
          <w:sz w:val="24"/>
          <w:szCs w:val="24"/>
        </w:rPr>
        <w:t xml:space="preserve">- </w:t>
      </w:r>
      <w:r w:rsidR="00FF296E">
        <w:rPr>
          <w:sz w:val="24"/>
          <w:szCs w:val="24"/>
        </w:rPr>
        <w:t>les contributions aux</w:t>
      </w:r>
      <w:r>
        <w:rPr>
          <w:sz w:val="24"/>
          <w:szCs w:val="24"/>
        </w:rPr>
        <w:t xml:space="preserve"> budgets annexes administratifs </w:t>
      </w:r>
      <w:r w:rsidR="00712FED">
        <w:rPr>
          <w:sz w:val="24"/>
          <w:szCs w:val="24"/>
        </w:rPr>
        <w:t>16.54</w:t>
      </w:r>
      <w:r w:rsidR="00272F8F">
        <w:rPr>
          <w:sz w:val="24"/>
          <w:szCs w:val="24"/>
        </w:rPr>
        <w:t xml:space="preserve"> </w:t>
      </w:r>
      <w:r>
        <w:rPr>
          <w:sz w:val="24"/>
          <w:szCs w:val="24"/>
        </w:rPr>
        <w:t>%</w:t>
      </w:r>
    </w:p>
    <w:p w14:paraId="02E077AF" w14:textId="77777777" w:rsidR="002A54A0" w:rsidRDefault="002A54A0" w:rsidP="006A5EE9">
      <w:pPr>
        <w:spacing w:after="0"/>
        <w:jc w:val="both"/>
        <w:rPr>
          <w:sz w:val="24"/>
          <w:szCs w:val="24"/>
        </w:rPr>
      </w:pPr>
    </w:p>
    <w:p w14:paraId="253E69F2" w14:textId="74D11EEE" w:rsidR="002A54A0" w:rsidRDefault="002A54A0" w:rsidP="006A5EE9">
      <w:pPr>
        <w:spacing w:after="0"/>
        <w:jc w:val="both"/>
        <w:rPr>
          <w:sz w:val="24"/>
          <w:szCs w:val="24"/>
        </w:rPr>
      </w:pPr>
      <w:r w:rsidRPr="00AC60D1">
        <w:rPr>
          <w:sz w:val="24"/>
          <w:szCs w:val="24"/>
        </w:rPr>
        <w:t xml:space="preserve">Pour </w:t>
      </w:r>
      <w:r w:rsidR="00FF296E">
        <w:rPr>
          <w:sz w:val="24"/>
          <w:szCs w:val="24"/>
        </w:rPr>
        <w:t>les</w:t>
      </w:r>
      <w:r w:rsidRPr="00AC60D1">
        <w:rPr>
          <w:sz w:val="24"/>
          <w:szCs w:val="24"/>
        </w:rPr>
        <w:t xml:space="preserve"> investissements prévus en 202</w:t>
      </w:r>
      <w:r w:rsidR="00AB4FFE">
        <w:rPr>
          <w:sz w:val="24"/>
          <w:szCs w:val="24"/>
        </w:rPr>
        <w:t>6</w:t>
      </w:r>
      <w:r w:rsidR="00E2434F" w:rsidRPr="00AC60D1">
        <w:rPr>
          <w:sz w:val="24"/>
          <w:szCs w:val="24"/>
        </w:rPr>
        <w:t>,</w:t>
      </w:r>
      <w:r w:rsidRPr="00AC60D1">
        <w:rPr>
          <w:sz w:val="24"/>
          <w:szCs w:val="24"/>
        </w:rPr>
        <w:t xml:space="preserve"> le</w:t>
      </w:r>
      <w:r w:rsidR="00FF296E">
        <w:rPr>
          <w:sz w:val="24"/>
          <w:szCs w:val="24"/>
        </w:rPr>
        <w:t>s</w:t>
      </w:r>
      <w:r w:rsidRPr="00AC60D1">
        <w:rPr>
          <w:sz w:val="24"/>
          <w:szCs w:val="24"/>
        </w:rPr>
        <w:t xml:space="preserve"> </w:t>
      </w:r>
      <w:r w:rsidR="00AC60D1" w:rsidRPr="00AC60D1">
        <w:rPr>
          <w:sz w:val="24"/>
          <w:szCs w:val="24"/>
        </w:rPr>
        <w:t>projet</w:t>
      </w:r>
      <w:r w:rsidR="00FF296E">
        <w:rPr>
          <w:sz w:val="24"/>
          <w:szCs w:val="24"/>
        </w:rPr>
        <w:t>s</w:t>
      </w:r>
      <w:r w:rsidR="00AC60D1" w:rsidRPr="00AC60D1">
        <w:rPr>
          <w:sz w:val="24"/>
          <w:szCs w:val="24"/>
        </w:rPr>
        <w:t xml:space="preserve"> </w:t>
      </w:r>
      <w:r w:rsidRPr="00AC60D1">
        <w:rPr>
          <w:sz w:val="24"/>
          <w:szCs w:val="24"/>
        </w:rPr>
        <w:t>principa</w:t>
      </w:r>
      <w:r w:rsidR="00FF296E">
        <w:rPr>
          <w:sz w:val="24"/>
          <w:szCs w:val="24"/>
        </w:rPr>
        <w:t>ux sont</w:t>
      </w:r>
      <w:r w:rsidR="002B4F0D" w:rsidRPr="00AC60D1">
        <w:rPr>
          <w:sz w:val="24"/>
          <w:szCs w:val="24"/>
        </w:rPr>
        <w:t xml:space="preserve"> </w:t>
      </w:r>
      <w:r w:rsidR="00AB4FFE">
        <w:rPr>
          <w:sz w:val="24"/>
          <w:szCs w:val="24"/>
        </w:rPr>
        <w:t>la finalisation des</w:t>
      </w:r>
      <w:r w:rsidRPr="00AC60D1">
        <w:rPr>
          <w:sz w:val="24"/>
          <w:szCs w:val="24"/>
        </w:rPr>
        <w:t xml:space="preserve"> travaux sur le centre administratif</w:t>
      </w:r>
      <w:r w:rsidR="002B4F0D" w:rsidRPr="00AC60D1">
        <w:rPr>
          <w:sz w:val="24"/>
          <w:szCs w:val="24"/>
        </w:rPr>
        <w:t xml:space="preserve">, </w:t>
      </w:r>
      <w:r w:rsidR="00AB4FFE">
        <w:rPr>
          <w:sz w:val="24"/>
          <w:szCs w:val="24"/>
        </w:rPr>
        <w:t xml:space="preserve">la poursuite des aides aux entreprises, </w:t>
      </w:r>
      <w:r w:rsidR="002B4F0D" w:rsidRPr="00AC60D1">
        <w:rPr>
          <w:sz w:val="24"/>
          <w:szCs w:val="24"/>
        </w:rPr>
        <w:t>réalisation de diverses actions en faveur de la mobilité</w:t>
      </w:r>
      <w:r w:rsidR="00AB4FFE">
        <w:rPr>
          <w:sz w:val="24"/>
          <w:szCs w:val="24"/>
        </w:rPr>
        <w:t xml:space="preserve"> et de la transition écologique</w:t>
      </w:r>
      <w:r w:rsidR="002B4F0D" w:rsidRPr="00AC60D1">
        <w:rPr>
          <w:sz w:val="24"/>
          <w:szCs w:val="24"/>
        </w:rPr>
        <w:t xml:space="preserve"> (</w:t>
      </w:r>
      <w:r w:rsidR="00AB4FFE">
        <w:rPr>
          <w:sz w:val="24"/>
          <w:szCs w:val="24"/>
        </w:rPr>
        <w:t>aire de covoiturage des 3 moineaux/ombrières, travaux sur le bâtiment les halles</w:t>
      </w:r>
      <w:r w:rsidR="006B4935" w:rsidRPr="00AC60D1">
        <w:rPr>
          <w:sz w:val="24"/>
          <w:szCs w:val="24"/>
        </w:rPr>
        <w:t>…</w:t>
      </w:r>
      <w:r w:rsidR="006A5EE9" w:rsidRPr="00AC60D1">
        <w:rPr>
          <w:sz w:val="24"/>
          <w:szCs w:val="24"/>
        </w:rPr>
        <w:t>).</w:t>
      </w:r>
    </w:p>
    <w:p w14:paraId="392A6BA0" w14:textId="5D98D60D" w:rsidR="002A54A0" w:rsidRDefault="00AB4FFE" w:rsidP="002A54A0">
      <w:pPr>
        <w:spacing w:after="0"/>
        <w:rPr>
          <w:sz w:val="24"/>
          <w:szCs w:val="24"/>
        </w:rPr>
      </w:pPr>
      <w:r w:rsidRPr="00AB4FFE">
        <w:rPr>
          <w:noProof/>
          <w:sz w:val="24"/>
          <w:szCs w:val="24"/>
        </w:rPr>
        <w:lastRenderedPageBreak/>
        <w:drawing>
          <wp:inline distT="0" distB="0" distL="0" distR="0" wp14:anchorId="4B5885FE" wp14:editId="21980B07">
            <wp:extent cx="6645910" cy="1195705"/>
            <wp:effectExtent l="0" t="0" r="2540" b="4445"/>
            <wp:docPr id="86859178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591789" name=""/>
                    <pic:cNvPicPr/>
                  </pic:nvPicPr>
                  <pic:blipFill>
                    <a:blip r:embed="rId10"/>
                    <a:stretch>
                      <a:fillRect/>
                    </a:stretch>
                  </pic:blipFill>
                  <pic:spPr>
                    <a:xfrm>
                      <a:off x="0" y="0"/>
                      <a:ext cx="6645910" cy="1195705"/>
                    </a:xfrm>
                    <a:prstGeom prst="rect">
                      <a:avLst/>
                    </a:prstGeom>
                  </pic:spPr>
                </pic:pic>
              </a:graphicData>
            </a:graphic>
          </wp:inline>
        </w:drawing>
      </w:r>
    </w:p>
    <w:p w14:paraId="783CD35F" w14:textId="60EBC6E2" w:rsidR="002A54A0" w:rsidRDefault="002A54A0" w:rsidP="00DC4E0C">
      <w:pPr>
        <w:spacing w:after="0"/>
        <w:jc w:val="center"/>
        <w:rPr>
          <w:sz w:val="24"/>
          <w:szCs w:val="24"/>
        </w:rPr>
      </w:pPr>
    </w:p>
    <w:p w14:paraId="6236B04A" w14:textId="74B2D347" w:rsidR="00E802F4" w:rsidRPr="00E802F4" w:rsidRDefault="00E802F4" w:rsidP="00E802F4">
      <w:pPr>
        <w:rPr>
          <w:b/>
          <w:bCs/>
          <w:sz w:val="40"/>
          <w:szCs w:val="40"/>
          <w:u w:val="single"/>
        </w:rPr>
      </w:pPr>
      <w:r w:rsidRPr="00E802F4">
        <w:rPr>
          <w:b/>
          <w:bCs/>
          <w:sz w:val="40"/>
          <w:szCs w:val="40"/>
          <w:u w:val="single"/>
        </w:rPr>
        <w:t>Les principales Ressources et Dépenses des budgets annexes administratifs</w:t>
      </w:r>
    </w:p>
    <w:p w14:paraId="01813AB3" w14:textId="1FFBD67C" w:rsidR="006B4935" w:rsidRDefault="006B4935" w:rsidP="0001243B">
      <w:pPr>
        <w:jc w:val="both"/>
        <w:rPr>
          <w:sz w:val="24"/>
          <w:szCs w:val="24"/>
        </w:rPr>
      </w:pPr>
      <w:r>
        <w:rPr>
          <w:sz w:val="24"/>
          <w:szCs w:val="24"/>
        </w:rPr>
        <w:t xml:space="preserve">- </w:t>
      </w:r>
      <w:r w:rsidRPr="00997791">
        <w:rPr>
          <w:sz w:val="24"/>
          <w:szCs w:val="24"/>
          <w:u w:val="single"/>
        </w:rPr>
        <w:t>Le budget de zone</w:t>
      </w:r>
      <w:r w:rsidR="00AB4FFE">
        <w:rPr>
          <w:sz w:val="24"/>
          <w:szCs w:val="24"/>
          <w:u w:val="single"/>
        </w:rPr>
        <w:t xml:space="preserve"> : </w:t>
      </w:r>
      <w:r w:rsidR="00AB4FFE" w:rsidRPr="00AB4FFE">
        <w:rPr>
          <w:sz w:val="24"/>
          <w:szCs w:val="24"/>
        </w:rPr>
        <w:t>il s’agit d’un budget soumis à TVA</w:t>
      </w:r>
      <w:r w:rsidR="00AB4FFE">
        <w:rPr>
          <w:sz w:val="24"/>
          <w:szCs w:val="24"/>
        </w:rPr>
        <w:t> ; Pour 2026</w:t>
      </w:r>
      <w:r>
        <w:rPr>
          <w:sz w:val="24"/>
          <w:szCs w:val="24"/>
        </w:rPr>
        <w:t xml:space="preserve">, 2 zones font l’objet </w:t>
      </w:r>
      <w:r w:rsidR="00AB4FFE">
        <w:rPr>
          <w:sz w:val="24"/>
          <w:szCs w:val="24"/>
        </w:rPr>
        <w:t>de prévisionnel de dépenses : la finalisation de l’</w:t>
      </w:r>
      <w:r>
        <w:rPr>
          <w:sz w:val="24"/>
          <w:szCs w:val="24"/>
        </w:rPr>
        <w:t>extension à Cuinzier et</w:t>
      </w:r>
      <w:r w:rsidR="00AB4FFE">
        <w:rPr>
          <w:sz w:val="24"/>
          <w:szCs w:val="24"/>
        </w:rPr>
        <w:t xml:space="preserve"> les études préalables à l’extension de la zone de </w:t>
      </w:r>
      <w:r>
        <w:rPr>
          <w:sz w:val="24"/>
          <w:szCs w:val="24"/>
        </w:rPr>
        <w:t xml:space="preserve"> Pouilly sous Charlieu, la collectivité ayant la maîtrise foncière nécessaire.</w:t>
      </w:r>
    </w:p>
    <w:p w14:paraId="264A0AC6" w14:textId="09221C78" w:rsidR="0054683D" w:rsidRDefault="00AB4FFE" w:rsidP="0001243B">
      <w:pPr>
        <w:jc w:val="both"/>
        <w:rPr>
          <w:sz w:val="24"/>
          <w:szCs w:val="24"/>
        </w:rPr>
      </w:pPr>
      <w:r w:rsidRPr="00AB4FFE">
        <w:rPr>
          <w:noProof/>
          <w:sz w:val="24"/>
          <w:szCs w:val="24"/>
        </w:rPr>
        <w:drawing>
          <wp:inline distT="0" distB="0" distL="0" distR="0" wp14:anchorId="7CAAD825" wp14:editId="345E1B85">
            <wp:extent cx="6645910" cy="1202055"/>
            <wp:effectExtent l="0" t="0" r="2540" b="0"/>
            <wp:docPr id="19397912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791232" name=""/>
                    <pic:cNvPicPr/>
                  </pic:nvPicPr>
                  <pic:blipFill>
                    <a:blip r:embed="rId11"/>
                    <a:stretch>
                      <a:fillRect/>
                    </a:stretch>
                  </pic:blipFill>
                  <pic:spPr>
                    <a:xfrm>
                      <a:off x="0" y="0"/>
                      <a:ext cx="6645910" cy="1202055"/>
                    </a:xfrm>
                    <a:prstGeom prst="rect">
                      <a:avLst/>
                    </a:prstGeom>
                  </pic:spPr>
                </pic:pic>
              </a:graphicData>
            </a:graphic>
          </wp:inline>
        </w:drawing>
      </w:r>
    </w:p>
    <w:p w14:paraId="3D917FE1" w14:textId="33736F50" w:rsidR="006B4935" w:rsidRDefault="006B4935" w:rsidP="0001243B">
      <w:pPr>
        <w:jc w:val="both"/>
        <w:rPr>
          <w:sz w:val="24"/>
          <w:szCs w:val="24"/>
        </w:rPr>
      </w:pPr>
      <w:r>
        <w:rPr>
          <w:sz w:val="24"/>
          <w:szCs w:val="24"/>
        </w:rPr>
        <w:t xml:space="preserve">- </w:t>
      </w:r>
      <w:r w:rsidRPr="00997791">
        <w:rPr>
          <w:sz w:val="24"/>
          <w:szCs w:val="24"/>
          <w:u w:val="single"/>
        </w:rPr>
        <w:t>le budget enfance jeunesse</w:t>
      </w:r>
      <w:r>
        <w:rPr>
          <w:sz w:val="24"/>
          <w:szCs w:val="24"/>
        </w:rPr>
        <w:t xml:space="preserve"> regroupe les comptes des activités liées au Relais Petite Enfance, à la ludothèque intercommunale, aux crèches et petites crèches, aux accueils de loisirs, aux actions en faveur de la parentalité et des jeunes. Certaines de ces activités sont gérées directement par la collectivité d’autres par des structures associatives (la collectivité leur apportant une subvention de fonctionnement</w:t>
      </w:r>
      <w:r w:rsidR="00D523E8">
        <w:rPr>
          <w:sz w:val="24"/>
          <w:szCs w:val="24"/>
        </w:rPr>
        <w:t xml:space="preserve"> </w:t>
      </w:r>
      <w:r w:rsidR="00FF296E">
        <w:rPr>
          <w:sz w:val="24"/>
          <w:szCs w:val="24"/>
        </w:rPr>
        <w:t xml:space="preserve">de </w:t>
      </w:r>
      <w:r w:rsidR="00D523E8">
        <w:rPr>
          <w:sz w:val="24"/>
          <w:szCs w:val="24"/>
        </w:rPr>
        <w:t xml:space="preserve">près de </w:t>
      </w:r>
      <w:r w:rsidR="00AB4FFE">
        <w:rPr>
          <w:sz w:val="24"/>
          <w:szCs w:val="24"/>
        </w:rPr>
        <w:t>570 377</w:t>
      </w:r>
      <w:r w:rsidR="00D523E8">
        <w:rPr>
          <w:sz w:val="24"/>
          <w:szCs w:val="24"/>
        </w:rPr>
        <w:t xml:space="preserve"> € en 202</w:t>
      </w:r>
      <w:r w:rsidR="00AB4FFE">
        <w:rPr>
          <w:sz w:val="24"/>
          <w:szCs w:val="24"/>
        </w:rPr>
        <w:t>6, en forte hausse)</w:t>
      </w:r>
      <w:r>
        <w:rPr>
          <w:sz w:val="24"/>
          <w:szCs w:val="24"/>
        </w:rPr>
        <w:t>.</w:t>
      </w:r>
    </w:p>
    <w:p w14:paraId="4D74E14B" w14:textId="609ADDE6" w:rsidR="005E2614" w:rsidRDefault="005E2614" w:rsidP="00FF296E">
      <w:pPr>
        <w:jc w:val="both"/>
        <w:rPr>
          <w:sz w:val="24"/>
          <w:szCs w:val="24"/>
        </w:rPr>
      </w:pPr>
      <w:r>
        <w:rPr>
          <w:sz w:val="24"/>
          <w:szCs w:val="24"/>
        </w:rPr>
        <w:t xml:space="preserve">Globalement la collectivité autofinance </w:t>
      </w:r>
      <w:r w:rsidR="00AB4FFE">
        <w:rPr>
          <w:sz w:val="24"/>
          <w:szCs w:val="24"/>
        </w:rPr>
        <w:t>67</w:t>
      </w:r>
      <w:r w:rsidR="00AE44D2">
        <w:rPr>
          <w:sz w:val="24"/>
          <w:szCs w:val="24"/>
        </w:rPr>
        <w:t xml:space="preserve"> </w:t>
      </w:r>
      <w:r>
        <w:rPr>
          <w:sz w:val="24"/>
          <w:szCs w:val="24"/>
        </w:rPr>
        <w:t xml:space="preserve">% du budget, </w:t>
      </w:r>
      <w:r w:rsidR="00AB4FFE">
        <w:rPr>
          <w:sz w:val="24"/>
          <w:szCs w:val="24"/>
        </w:rPr>
        <w:t xml:space="preserve">les partenaires </w:t>
      </w:r>
      <w:r w:rsidR="00FF296E">
        <w:rPr>
          <w:sz w:val="24"/>
          <w:szCs w:val="24"/>
        </w:rPr>
        <w:t xml:space="preserve">à </w:t>
      </w:r>
      <w:r w:rsidR="00AB4FFE">
        <w:rPr>
          <w:sz w:val="24"/>
          <w:szCs w:val="24"/>
        </w:rPr>
        <w:t>17.92</w:t>
      </w:r>
      <w:r w:rsidR="00AE44D2">
        <w:rPr>
          <w:sz w:val="24"/>
          <w:szCs w:val="24"/>
        </w:rPr>
        <w:t xml:space="preserve"> </w:t>
      </w:r>
      <w:r w:rsidR="0001243B">
        <w:rPr>
          <w:sz w:val="24"/>
          <w:szCs w:val="24"/>
        </w:rPr>
        <w:t xml:space="preserve">% </w:t>
      </w:r>
      <w:r w:rsidR="00AB4FFE">
        <w:rPr>
          <w:sz w:val="24"/>
          <w:szCs w:val="24"/>
        </w:rPr>
        <w:t>(principalement la Caisse d’Allocations Familiales)</w:t>
      </w:r>
      <w:r w:rsidR="00FF296E">
        <w:rPr>
          <w:sz w:val="24"/>
          <w:szCs w:val="24"/>
        </w:rPr>
        <w:t>,</w:t>
      </w:r>
      <w:r w:rsidR="00AB4FFE">
        <w:rPr>
          <w:sz w:val="24"/>
          <w:szCs w:val="24"/>
        </w:rPr>
        <w:t xml:space="preserve"> </w:t>
      </w:r>
      <w:r w:rsidR="0001243B">
        <w:rPr>
          <w:sz w:val="24"/>
          <w:szCs w:val="24"/>
        </w:rPr>
        <w:t xml:space="preserve">les familles pour l’accueil de loisirs du secteur de Belmont et de la ludothèque </w:t>
      </w:r>
      <w:r w:rsidR="00FF296E">
        <w:rPr>
          <w:sz w:val="24"/>
          <w:szCs w:val="24"/>
        </w:rPr>
        <w:t xml:space="preserve">à </w:t>
      </w:r>
      <w:r w:rsidR="00D26A0C">
        <w:rPr>
          <w:sz w:val="24"/>
          <w:szCs w:val="24"/>
        </w:rPr>
        <w:t xml:space="preserve">5.46 </w:t>
      </w:r>
      <w:r w:rsidR="0001243B">
        <w:rPr>
          <w:sz w:val="24"/>
          <w:szCs w:val="24"/>
        </w:rPr>
        <w:t>%</w:t>
      </w:r>
      <w:r w:rsidR="00AE44D2">
        <w:rPr>
          <w:sz w:val="24"/>
          <w:szCs w:val="24"/>
        </w:rPr>
        <w:t> ;</w:t>
      </w:r>
    </w:p>
    <w:p w14:paraId="032CADA7" w14:textId="2D4AADC1" w:rsidR="0001243B" w:rsidRDefault="0001243B" w:rsidP="00FF296E">
      <w:pPr>
        <w:jc w:val="both"/>
        <w:rPr>
          <w:sz w:val="24"/>
          <w:szCs w:val="24"/>
        </w:rPr>
      </w:pPr>
      <w:r>
        <w:rPr>
          <w:sz w:val="24"/>
          <w:szCs w:val="24"/>
        </w:rPr>
        <w:t xml:space="preserve">Les principales dépenses sont pour </w:t>
      </w:r>
      <w:r w:rsidR="001055F9">
        <w:rPr>
          <w:sz w:val="24"/>
          <w:szCs w:val="24"/>
        </w:rPr>
        <w:t>38.22</w:t>
      </w:r>
      <w:r w:rsidR="00AE44D2">
        <w:rPr>
          <w:sz w:val="24"/>
          <w:szCs w:val="24"/>
        </w:rPr>
        <w:t xml:space="preserve"> </w:t>
      </w:r>
      <w:r>
        <w:rPr>
          <w:sz w:val="24"/>
          <w:szCs w:val="24"/>
        </w:rPr>
        <w:t>% les charges de personnel et</w:t>
      </w:r>
      <w:r w:rsidR="00AE44D2">
        <w:rPr>
          <w:sz w:val="24"/>
          <w:szCs w:val="24"/>
        </w:rPr>
        <w:t xml:space="preserve"> </w:t>
      </w:r>
      <w:r w:rsidR="001055F9">
        <w:rPr>
          <w:sz w:val="24"/>
          <w:szCs w:val="24"/>
        </w:rPr>
        <w:t xml:space="preserve">42.63 </w:t>
      </w:r>
      <w:r>
        <w:rPr>
          <w:sz w:val="24"/>
          <w:szCs w:val="24"/>
        </w:rPr>
        <w:t>% le financement des structures associatives partenaires.</w:t>
      </w:r>
    </w:p>
    <w:p w14:paraId="292A7793" w14:textId="298EA815" w:rsidR="00363598" w:rsidRDefault="00363598" w:rsidP="00FF296E">
      <w:pPr>
        <w:jc w:val="both"/>
        <w:rPr>
          <w:sz w:val="24"/>
          <w:szCs w:val="24"/>
        </w:rPr>
      </w:pPr>
      <w:r>
        <w:rPr>
          <w:sz w:val="24"/>
          <w:szCs w:val="24"/>
        </w:rPr>
        <w:t xml:space="preserve">Ce budget consacre une part d’investissement pour les </w:t>
      </w:r>
      <w:r w:rsidR="00B3171B">
        <w:rPr>
          <w:sz w:val="24"/>
          <w:szCs w:val="24"/>
        </w:rPr>
        <w:t xml:space="preserve">travaux sur </w:t>
      </w:r>
      <w:r>
        <w:rPr>
          <w:sz w:val="24"/>
          <w:szCs w:val="24"/>
        </w:rPr>
        <w:t xml:space="preserve">bâtiments communautaires et </w:t>
      </w:r>
      <w:r w:rsidR="00B3171B">
        <w:rPr>
          <w:sz w:val="24"/>
          <w:szCs w:val="24"/>
        </w:rPr>
        <w:t xml:space="preserve">les acquisitions de </w:t>
      </w:r>
      <w:r>
        <w:rPr>
          <w:sz w:val="24"/>
          <w:szCs w:val="24"/>
        </w:rPr>
        <w:t>mobilier nécessaires aux activités de la petite enfance et de la jeunesse.</w:t>
      </w:r>
    </w:p>
    <w:p w14:paraId="19E22C88" w14:textId="3BB9E193" w:rsidR="00DC4E0C" w:rsidRDefault="001055F9" w:rsidP="00DC4E0C">
      <w:pPr>
        <w:jc w:val="center"/>
        <w:rPr>
          <w:sz w:val="24"/>
          <w:szCs w:val="24"/>
        </w:rPr>
      </w:pPr>
      <w:r w:rsidRPr="001055F9">
        <w:rPr>
          <w:noProof/>
          <w:sz w:val="24"/>
          <w:szCs w:val="24"/>
        </w:rPr>
        <w:drawing>
          <wp:inline distT="0" distB="0" distL="0" distR="0" wp14:anchorId="650FA6B5" wp14:editId="264E84D5">
            <wp:extent cx="6645910" cy="1163955"/>
            <wp:effectExtent l="0" t="0" r="2540" b="0"/>
            <wp:docPr id="21468782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878288" name=""/>
                    <pic:cNvPicPr/>
                  </pic:nvPicPr>
                  <pic:blipFill>
                    <a:blip r:embed="rId12"/>
                    <a:stretch>
                      <a:fillRect/>
                    </a:stretch>
                  </pic:blipFill>
                  <pic:spPr>
                    <a:xfrm>
                      <a:off x="0" y="0"/>
                      <a:ext cx="6645910" cy="1163955"/>
                    </a:xfrm>
                    <a:prstGeom prst="rect">
                      <a:avLst/>
                    </a:prstGeom>
                  </pic:spPr>
                </pic:pic>
              </a:graphicData>
            </a:graphic>
          </wp:inline>
        </w:drawing>
      </w:r>
    </w:p>
    <w:p w14:paraId="4981105E" w14:textId="70F10892" w:rsidR="006B4935" w:rsidRDefault="00AE44D2" w:rsidP="00AE44D2">
      <w:pPr>
        <w:jc w:val="both"/>
        <w:rPr>
          <w:sz w:val="24"/>
          <w:szCs w:val="24"/>
        </w:rPr>
      </w:pPr>
      <w:r w:rsidRPr="00833DF4">
        <w:rPr>
          <w:sz w:val="24"/>
          <w:szCs w:val="24"/>
          <w:u w:val="single"/>
        </w:rPr>
        <w:t xml:space="preserve">- </w:t>
      </w:r>
      <w:r w:rsidR="00E53570" w:rsidRPr="00833DF4">
        <w:rPr>
          <w:sz w:val="24"/>
          <w:szCs w:val="24"/>
          <w:u w:val="single"/>
        </w:rPr>
        <w:t>Le</w:t>
      </w:r>
      <w:r w:rsidR="00721532" w:rsidRPr="00833DF4">
        <w:rPr>
          <w:sz w:val="24"/>
          <w:szCs w:val="24"/>
          <w:u w:val="single"/>
        </w:rPr>
        <w:t xml:space="preserve"> </w:t>
      </w:r>
      <w:r w:rsidRPr="00833DF4">
        <w:rPr>
          <w:sz w:val="24"/>
          <w:szCs w:val="24"/>
          <w:u w:val="single"/>
        </w:rPr>
        <w:t xml:space="preserve">budget commun </w:t>
      </w:r>
      <w:r w:rsidR="00E80964" w:rsidRPr="00833DF4">
        <w:rPr>
          <w:sz w:val="24"/>
          <w:szCs w:val="24"/>
          <w:u w:val="single"/>
        </w:rPr>
        <w:t>appelé ADS</w:t>
      </w:r>
      <w:r w:rsidR="00E80964">
        <w:rPr>
          <w:sz w:val="24"/>
          <w:szCs w:val="24"/>
        </w:rPr>
        <w:t xml:space="preserve">, </w:t>
      </w:r>
      <w:r w:rsidRPr="00AE44D2">
        <w:rPr>
          <w:sz w:val="24"/>
          <w:szCs w:val="24"/>
        </w:rPr>
        <w:t>pour l’instruction des autorisations d’urbanisme</w:t>
      </w:r>
      <w:r w:rsidR="00954F38">
        <w:rPr>
          <w:sz w:val="24"/>
          <w:szCs w:val="24"/>
        </w:rPr>
        <w:t>,</w:t>
      </w:r>
      <w:r w:rsidRPr="00AE44D2">
        <w:rPr>
          <w:sz w:val="24"/>
          <w:szCs w:val="24"/>
        </w:rPr>
        <w:t xml:space="preserve"> est financé à 15% pour le budget principal et 85 % pour les 2</w:t>
      </w:r>
      <w:r w:rsidR="001055F9">
        <w:rPr>
          <w:sz w:val="24"/>
          <w:szCs w:val="24"/>
        </w:rPr>
        <w:t>4</w:t>
      </w:r>
      <w:r w:rsidRPr="00AE44D2">
        <w:rPr>
          <w:sz w:val="24"/>
          <w:szCs w:val="24"/>
        </w:rPr>
        <w:t xml:space="preserve"> communes membres ont fonction du nombre et du type d’actes à instruire pour leur compte.</w:t>
      </w:r>
      <w:r w:rsidR="00954F38">
        <w:rPr>
          <w:sz w:val="24"/>
          <w:szCs w:val="24"/>
        </w:rPr>
        <w:t xml:space="preserve"> Les charges sont presque exclusivement consacrées à la rémunération des personnel</w:t>
      </w:r>
      <w:r w:rsidR="00DB4C9E">
        <w:rPr>
          <w:sz w:val="24"/>
          <w:szCs w:val="24"/>
        </w:rPr>
        <w:t>s</w:t>
      </w:r>
      <w:r w:rsidR="00954F38">
        <w:rPr>
          <w:sz w:val="24"/>
          <w:szCs w:val="24"/>
        </w:rPr>
        <w:t xml:space="preserve"> instructeurs 8</w:t>
      </w:r>
      <w:r w:rsidR="00AC60D1">
        <w:rPr>
          <w:sz w:val="24"/>
          <w:szCs w:val="24"/>
        </w:rPr>
        <w:t>1</w:t>
      </w:r>
      <w:r w:rsidR="00954F38">
        <w:rPr>
          <w:sz w:val="24"/>
          <w:szCs w:val="24"/>
        </w:rPr>
        <w:t xml:space="preserve"> % les autres dépenses concernent les frais de maintenance et d’hébergement du logiciel dédié et aux amortissements des investissements passés.</w:t>
      </w:r>
    </w:p>
    <w:p w14:paraId="01C234BC" w14:textId="6DE46F55" w:rsidR="00DC4E0C" w:rsidRDefault="001055F9" w:rsidP="00DC4E0C">
      <w:pPr>
        <w:jc w:val="center"/>
        <w:rPr>
          <w:sz w:val="24"/>
          <w:szCs w:val="24"/>
        </w:rPr>
      </w:pPr>
      <w:r w:rsidRPr="001055F9">
        <w:rPr>
          <w:noProof/>
          <w:sz w:val="24"/>
          <w:szCs w:val="24"/>
        </w:rPr>
        <w:lastRenderedPageBreak/>
        <w:drawing>
          <wp:inline distT="0" distB="0" distL="0" distR="0" wp14:anchorId="6F8FF7BA" wp14:editId="5D448F0E">
            <wp:extent cx="6645910" cy="1198245"/>
            <wp:effectExtent l="0" t="0" r="2540" b="1905"/>
            <wp:docPr id="4507113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711348" name=""/>
                    <pic:cNvPicPr/>
                  </pic:nvPicPr>
                  <pic:blipFill>
                    <a:blip r:embed="rId13"/>
                    <a:stretch>
                      <a:fillRect/>
                    </a:stretch>
                  </pic:blipFill>
                  <pic:spPr>
                    <a:xfrm>
                      <a:off x="0" y="0"/>
                      <a:ext cx="6645910" cy="1198245"/>
                    </a:xfrm>
                    <a:prstGeom prst="rect">
                      <a:avLst/>
                    </a:prstGeom>
                  </pic:spPr>
                </pic:pic>
              </a:graphicData>
            </a:graphic>
          </wp:inline>
        </w:drawing>
      </w:r>
    </w:p>
    <w:p w14:paraId="68632DD9" w14:textId="77777777" w:rsidR="00FF296E" w:rsidRDefault="00721532" w:rsidP="00AE44D2">
      <w:pPr>
        <w:jc w:val="both"/>
        <w:rPr>
          <w:sz w:val="24"/>
          <w:szCs w:val="24"/>
        </w:rPr>
      </w:pPr>
      <w:r>
        <w:rPr>
          <w:sz w:val="24"/>
          <w:szCs w:val="24"/>
        </w:rPr>
        <w:t xml:space="preserve">- </w:t>
      </w:r>
      <w:r w:rsidRPr="00833DF4">
        <w:rPr>
          <w:sz w:val="24"/>
          <w:szCs w:val="24"/>
          <w:u w:val="single"/>
        </w:rPr>
        <w:t>le budget piscine nouvelle</w:t>
      </w:r>
      <w:r>
        <w:rPr>
          <w:sz w:val="24"/>
          <w:szCs w:val="24"/>
        </w:rPr>
        <w:t xml:space="preserve"> </w:t>
      </w:r>
      <w:r w:rsidR="00FF296E">
        <w:rPr>
          <w:sz w:val="24"/>
          <w:szCs w:val="24"/>
        </w:rPr>
        <w:t xml:space="preserve">a été </w:t>
      </w:r>
      <w:r>
        <w:rPr>
          <w:sz w:val="24"/>
          <w:szCs w:val="24"/>
        </w:rPr>
        <w:t xml:space="preserve">ouvert spécifiquement pour retracer l’ensemble des dépenses et des recettes du projet d’implantation d’une piscine intercommunale à Charlieu. </w:t>
      </w:r>
      <w:r w:rsidR="001055F9">
        <w:rPr>
          <w:sz w:val="24"/>
          <w:szCs w:val="24"/>
        </w:rPr>
        <w:t>Depuis son</w:t>
      </w:r>
      <w:r w:rsidR="00D523E8">
        <w:rPr>
          <w:sz w:val="24"/>
          <w:szCs w:val="24"/>
        </w:rPr>
        <w:t xml:space="preserve"> ouverture courant septembre 2025 des dépenses et des recettes d’exploitation ont été portées </w:t>
      </w:r>
      <w:r w:rsidR="00FF296E">
        <w:rPr>
          <w:sz w:val="24"/>
          <w:szCs w:val="24"/>
        </w:rPr>
        <w:t>sur ce</w:t>
      </w:r>
      <w:r w:rsidR="00D523E8">
        <w:rPr>
          <w:sz w:val="24"/>
          <w:szCs w:val="24"/>
        </w:rPr>
        <w:t xml:space="preserve"> budget. </w:t>
      </w:r>
    </w:p>
    <w:p w14:paraId="3C55875C" w14:textId="2CF25993" w:rsidR="001055F9" w:rsidRDefault="001055F9" w:rsidP="00FF296E">
      <w:pPr>
        <w:spacing w:after="0"/>
        <w:jc w:val="both"/>
        <w:rPr>
          <w:sz w:val="24"/>
          <w:szCs w:val="24"/>
        </w:rPr>
      </w:pPr>
      <w:r>
        <w:rPr>
          <w:sz w:val="24"/>
          <w:szCs w:val="24"/>
        </w:rPr>
        <w:t>2026 sera la 1ere année complète de mise en exploitation avec :</w:t>
      </w:r>
    </w:p>
    <w:p w14:paraId="2FAECDEE" w14:textId="6B0056C1" w:rsidR="001055F9" w:rsidRDefault="001055F9" w:rsidP="00FF296E">
      <w:pPr>
        <w:spacing w:after="0"/>
        <w:jc w:val="both"/>
        <w:rPr>
          <w:sz w:val="24"/>
          <w:szCs w:val="24"/>
        </w:rPr>
      </w:pPr>
      <w:r>
        <w:rPr>
          <w:sz w:val="24"/>
          <w:szCs w:val="24"/>
        </w:rPr>
        <w:t>- en recettes de fonctionnement le produit des entrées estimé à 383 000 € et un apport du budget principal</w:t>
      </w:r>
    </w:p>
    <w:p w14:paraId="4E104C0F" w14:textId="1366429E" w:rsidR="00954F38" w:rsidRDefault="001055F9" w:rsidP="00AE44D2">
      <w:pPr>
        <w:jc w:val="both"/>
        <w:rPr>
          <w:sz w:val="24"/>
          <w:szCs w:val="24"/>
        </w:rPr>
      </w:pPr>
      <w:r>
        <w:rPr>
          <w:sz w:val="24"/>
          <w:szCs w:val="24"/>
        </w:rPr>
        <w:t>- en dépenses de fonctionnement 42.99 % de charges à caractère général soit 386 500 €</w:t>
      </w:r>
      <w:r w:rsidR="00FF296E">
        <w:rPr>
          <w:sz w:val="24"/>
          <w:szCs w:val="24"/>
        </w:rPr>
        <w:t xml:space="preserve"> </w:t>
      </w:r>
      <w:r>
        <w:rPr>
          <w:sz w:val="24"/>
          <w:szCs w:val="24"/>
        </w:rPr>
        <w:t xml:space="preserve">(énergie, fluides, maintenance, prestations de ménage et transport des scolaires…), 36.70 % de charges de personnel, </w:t>
      </w:r>
      <w:r w:rsidR="00613D50">
        <w:rPr>
          <w:sz w:val="24"/>
          <w:szCs w:val="24"/>
        </w:rPr>
        <w:t>et 15.85 % de charges financières liées aux emprunts contractés.</w:t>
      </w:r>
    </w:p>
    <w:p w14:paraId="5FEA693A" w14:textId="0EA6B820" w:rsidR="00FF296E" w:rsidRDefault="00FF296E" w:rsidP="00AE44D2">
      <w:pPr>
        <w:jc w:val="both"/>
        <w:rPr>
          <w:sz w:val="24"/>
          <w:szCs w:val="24"/>
        </w:rPr>
      </w:pPr>
      <w:r>
        <w:rPr>
          <w:sz w:val="24"/>
          <w:szCs w:val="24"/>
        </w:rPr>
        <w:t>Pour cette année 2026 la section d’investissement reste encore chargée pour le paiement du solde des travaux (780 000 €). En recettes outre l’autofinancement constitué, sont attendus 2 798 573 € de versement de subvention.</w:t>
      </w:r>
    </w:p>
    <w:p w14:paraId="232680C8" w14:textId="5233D864" w:rsidR="00254953" w:rsidRDefault="001055F9" w:rsidP="00DC4E0C">
      <w:pPr>
        <w:jc w:val="center"/>
        <w:rPr>
          <w:sz w:val="24"/>
          <w:szCs w:val="24"/>
        </w:rPr>
      </w:pPr>
      <w:r w:rsidRPr="001055F9">
        <w:rPr>
          <w:noProof/>
          <w:sz w:val="24"/>
          <w:szCs w:val="24"/>
        </w:rPr>
        <w:drawing>
          <wp:inline distT="0" distB="0" distL="0" distR="0" wp14:anchorId="2A015271" wp14:editId="60FAAC59">
            <wp:extent cx="6645910" cy="1170305"/>
            <wp:effectExtent l="0" t="0" r="2540" b="0"/>
            <wp:docPr id="200614068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140687" name=""/>
                    <pic:cNvPicPr/>
                  </pic:nvPicPr>
                  <pic:blipFill>
                    <a:blip r:embed="rId14"/>
                    <a:stretch>
                      <a:fillRect/>
                    </a:stretch>
                  </pic:blipFill>
                  <pic:spPr>
                    <a:xfrm>
                      <a:off x="0" y="0"/>
                      <a:ext cx="6645910" cy="1170305"/>
                    </a:xfrm>
                    <a:prstGeom prst="rect">
                      <a:avLst/>
                    </a:prstGeom>
                  </pic:spPr>
                </pic:pic>
              </a:graphicData>
            </a:graphic>
          </wp:inline>
        </w:drawing>
      </w:r>
    </w:p>
    <w:p w14:paraId="5781073E" w14:textId="77777777" w:rsidR="00254953" w:rsidRDefault="00254953" w:rsidP="00AE44D2">
      <w:pPr>
        <w:jc w:val="both"/>
        <w:rPr>
          <w:sz w:val="24"/>
          <w:szCs w:val="24"/>
        </w:rPr>
      </w:pPr>
    </w:p>
    <w:p w14:paraId="3CB9E709" w14:textId="77777777" w:rsidR="00721532" w:rsidRPr="00AE44D2" w:rsidRDefault="00721532" w:rsidP="00AE44D2">
      <w:pPr>
        <w:jc w:val="both"/>
        <w:rPr>
          <w:sz w:val="24"/>
          <w:szCs w:val="24"/>
        </w:rPr>
      </w:pPr>
    </w:p>
    <w:p w14:paraId="2EC3EA27" w14:textId="4539ECE7" w:rsidR="00E802F4" w:rsidRPr="00E802F4" w:rsidRDefault="00E802F4" w:rsidP="00E802F4">
      <w:pPr>
        <w:rPr>
          <w:b/>
          <w:bCs/>
          <w:sz w:val="40"/>
          <w:szCs w:val="40"/>
          <w:u w:val="single"/>
        </w:rPr>
      </w:pPr>
      <w:r w:rsidRPr="00E802F4">
        <w:rPr>
          <w:b/>
          <w:bCs/>
          <w:sz w:val="40"/>
          <w:szCs w:val="40"/>
          <w:u w:val="single"/>
        </w:rPr>
        <w:t>Les Ressources et Dépenses des budgets annexes industriels et commerciaux</w:t>
      </w:r>
    </w:p>
    <w:p w14:paraId="5DE5519D" w14:textId="0BFFBF8D" w:rsidR="00E802F4" w:rsidRPr="005D10BB" w:rsidRDefault="00833DF4" w:rsidP="007A01D9">
      <w:pPr>
        <w:jc w:val="both"/>
        <w:rPr>
          <w:sz w:val="24"/>
          <w:szCs w:val="24"/>
        </w:rPr>
      </w:pPr>
      <w:r w:rsidRPr="005D10BB">
        <w:rPr>
          <w:sz w:val="24"/>
          <w:szCs w:val="24"/>
        </w:rPr>
        <w:t>Conformément à l’article L2224-1 les budgets des services publics à caractère industriel ou commercial exploités en régie, affermés ou concédés par les communes ou communautés de communes, doivent être équilibrés en recettes et en dépenses et ce</w:t>
      </w:r>
      <w:r w:rsidR="00254953">
        <w:rPr>
          <w:sz w:val="24"/>
          <w:szCs w:val="24"/>
        </w:rPr>
        <w:t>,</w:t>
      </w:r>
      <w:r w:rsidRPr="005D10BB">
        <w:rPr>
          <w:sz w:val="24"/>
          <w:szCs w:val="24"/>
        </w:rPr>
        <w:t xml:space="preserve"> sans apport du budget principal.</w:t>
      </w:r>
    </w:p>
    <w:p w14:paraId="2DBDBB5C" w14:textId="0BCC5E53" w:rsidR="009021C1" w:rsidRPr="009021C1" w:rsidRDefault="00833DF4" w:rsidP="009021C1">
      <w:pPr>
        <w:jc w:val="both"/>
        <w:rPr>
          <w:sz w:val="24"/>
          <w:szCs w:val="24"/>
        </w:rPr>
      </w:pPr>
      <w:r w:rsidRPr="005D10BB">
        <w:rPr>
          <w:sz w:val="24"/>
          <w:szCs w:val="24"/>
        </w:rPr>
        <w:t xml:space="preserve">- </w:t>
      </w:r>
      <w:r w:rsidRPr="009021C1">
        <w:rPr>
          <w:sz w:val="24"/>
          <w:szCs w:val="24"/>
          <w:u w:val="single"/>
        </w:rPr>
        <w:t>le budget annexe assainissement non collectif</w:t>
      </w:r>
      <w:r w:rsidR="009021C1">
        <w:rPr>
          <w:sz w:val="24"/>
          <w:szCs w:val="24"/>
        </w:rPr>
        <w:t> : pour faire face à l’obligation de contrôler les assainissements autonomes le SPANC a été créé.</w:t>
      </w:r>
      <w:r w:rsidR="009021C1" w:rsidRPr="009021C1">
        <w:t xml:space="preserve"> </w:t>
      </w:r>
      <w:r w:rsidR="009021C1" w:rsidRPr="009021C1">
        <w:rPr>
          <w:sz w:val="24"/>
          <w:szCs w:val="24"/>
        </w:rPr>
        <w:t xml:space="preserve">La réglementation distingue </w:t>
      </w:r>
      <w:r w:rsidR="009021C1">
        <w:rPr>
          <w:sz w:val="24"/>
          <w:szCs w:val="24"/>
        </w:rPr>
        <w:t>plusieurs</w:t>
      </w:r>
      <w:r w:rsidR="009021C1" w:rsidRPr="009021C1">
        <w:rPr>
          <w:sz w:val="24"/>
          <w:szCs w:val="24"/>
        </w:rPr>
        <w:t xml:space="preserve"> types de contrôle :</w:t>
      </w:r>
      <w:r w:rsidR="009021C1">
        <w:rPr>
          <w:sz w:val="24"/>
          <w:szCs w:val="24"/>
        </w:rPr>
        <w:t xml:space="preserve"> si l’</w:t>
      </w:r>
      <w:r w:rsidR="009021C1" w:rsidRPr="009021C1">
        <w:rPr>
          <w:sz w:val="24"/>
          <w:szCs w:val="24"/>
        </w:rPr>
        <w:t>installation a déjà fait l’objet d’un contrôle</w:t>
      </w:r>
      <w:r w:rsidR="009021C1">
        <w:rPr>
          <w:sz w:val="24"/>
          <w:szCs w:val="24"/>
        </w:rPr>
        <w:t xml:space="preserve"> (diagnostic de bon fonctionnement et d’entretien)</w:t>
      </w:r>
      <w:r w:rsidR="009021C1" w:rsidRPr="009021C1">
        <w:rPr>
          <w:sz w:val="24"/>
          <w:szCs w:val="24"/>
        </w:rPr>
        <w:t>, le contrôle à réaliser est un contrôle périodique</w:t>
      </w:r>
      <w:r w:rsidR="009021C1">
        <w:rPr>
          <w:sz w:val="24"/>
          <w:szCs w:val="24"/>
        </w:rPr>
        <w:t>, si l’</w:t>
      </w:r>
      <w:r w:rsidR="009021C1" w:rsidRPr="009021C1">
        <w:rPr>
          <w:sz w:val="24"/>
          <w:szCs w:val="24"/>
        </w:rPr>
        <w:t xml:space="preserve">installation </w:t>
      </w:r>
      <w:r w:rsidR="009021C1">
        <w:rPr>
          <w:sz w:val="24"/>
          <w:szCs w:val="24"/>
        </w:rPr>
        <w:t>est neuve il s’agira d’un contrôle de conception et d’exécution et en cas de vente</w:t>
      </w:r>
      <w:r w:rsidR="00D22BED">
        <w:rPr>
          <w:sz w:val="24"/>
          <w:szCs w:val="24"/>
        </w:rPr>
        <w:t>,</w:t>
      </w:r>
      <w:r w:rsidR="009021C1">
        <w:rPr>
          <w:sz w:val="24"/>
          <w:szCs w:val="24"/>
        </w:rPr>
        <w:t xml:space="preserve"> il peut être nécessaire de réaliser un contrôle pour mutation ;</w:t>
      </w:r>
    </w:p>
    <w:p w14:paraId="48B5D69C" w14:textId="3A4B5A1D" w:rsidR="00833DF4" w:rsidRDefault="009021C1" w:rsidP="007A01D9">
      <w:pPr>
        <w:jc w:val="both"/>
        <w:rPr>
          <w:sz w:val="24"/>
          <w:szCs w:val="24"/>
        </w:rPr>
      </w:pPr>
      <w:r w:rsidRPr="007A01D9">
        <w:rPr>
          <w:sz w:val="24"/>
          <w:szCs w:val="24"/>
        </w:rPr>
        <w:t>Les recettes de fonctionnement sont presque exclusivement constituées par les redevances des usagers contrôlés (9</w:t>
      </w:r>
      <w:r w:rsidR="00CA21E9">
        <w:rPr>
          <w:sz w:val="24"/>
          <w:szCs w:val="24"/>
        </w:rPr>
        <w:t>9</w:t>
      </w:r>
      <w:r w:rsidRPr="007A01D9">
        <w:rPr>
          <w:sz w:val="24"/>
          <w:szCs w:val="24"/>
        </w:rPr>
        <w:t>% hors excédent reporté), quant aux dépenses</w:t>
      </w:r>
      <w:r w:rsidR="00D22BED">
        <w:rPr>
          <w:sz w:val="24"/>
          <w:szCs w:val="24"/>
        </w:rPr>
        <w:t>,</w:t>
      </w:r>
      <w:r w:rsidRPr="007A01D9">
        <w:rPr>
          <w:sz w:val="24"/>
          <w:szCs w:val="24"/>
        </w:rPr>
        <w:t xml:space="preserve"> le principal poste est celui des charges de personnel</w:t>
      </w:r>
      <w:r w:rsidR="00265813" w:rsidRPr="007A01D9">
        <w:rPr>
          <w:sz w:val="24"/>
          <w:szCs w:val="24"/>
        </w:rPr>
        <w:t xml:space="preserve"> (</w:t>
      </w:r>
      <w:r w:rsidR="00C338BF">
        <w:rPr>
          <w:sz w:val="24"/>
          <w:szCs w:val="24"/>
        </w:rPr>
        <w:t>53.59</w:t>
      </w:r>
      <w:r w:rsidR="00265813" w:rsidRPr="007A01D9">
        <w:rPr>
          <w:sz w:val="24"/>
          <w:szCs w:val="24"/>
        </w:rPr>
        <w:t xml:space="preserve">%). La section d’investissement est alimentée par les amortissements des immobilisations passées et qui permettent </w:t>
      </w:r>
      <w:r w:rsidR="00C338BF">
        <w:rPr>
          <w:sz w:val="24"/>
          <w:szCs w:val="24"/>
        </w:rPr>
        <w:t>sur les exercices 2025 2026</w:t>
      </w:r>
      <w:r w:rsidR="00265813" w:rsidRPr="007A01D9">
        <w:rPr>
          <w:sz w:val="24"/>
          <w:szCs w:val="24"/>
        </w:rPr>
        <w:t xml:space="preserve"> de renouveler </w:t>
      </w:r>
      <w:r w:rsidR="00CA21E9">
        <w:rPr>
          <w:sz w:val="24"/>
          <w:szCs w:val="24"/>
        </w:rPr>
        <w:t>le logiciel métier</w:t>
      </w:r>
      <w:r w:rsidR="00265813" w:rsidRPr="007A01D9">
        <w:rPr>
          <w:sz w:val="24"/>
          <w:szCs w:val="24"/>
        </w:rPr>
        <w:t>.</w:t>
      </w:r>
    </w:p>
    <w:p w14:paraId="0426C718" w14:textId="6E92831F" w:rsidR="00C338BF" w:rsidRDefault="00C338BF" w:rsidP="007A01D9">
      <w:pPr>
        <w:jc w:val="both"/>
        <w:rPr>
          <w:sz w:val="24"/>
          <w:szCs w:val="24"/>
        </w:rPr>
      </w:pPr>
      <w:r>
        <w:rPr>
          <w:noProof/>
          <w:sz w:val="24"/>
          <w:szCs w:val="24"/>
        </w:rPr>
        <w:lastRenderedPageBreak/>
        <w:drawing>
          <wp:inline distT="0" distB="0" distL="0" distR="0" wp14:anchorId="05BD355A" wp14:editId="46B45F30">
            <wp:extent cx="5673725" cy="994716"/>
            <wp:effectExtent l="0" t="0" r="3175" b="0"/>
            <wp:docPr id="126362379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15958" cy="1002120"/>
                    </a:xfrm>
                    <a:prstGeom prst="rect">
                      <a:avLst/>
                    </a:prstGeom>
                    <a:noFill/>
                  </pic:spPr>
                </pic:pic>
              </a:graphicData>
            </a:graphic>
          </wp:inline>
        </w:drawing>
      </w:r>
    </w:p>
    <w:p w14:paraId="5DBC6E73" w14:textId="08EF393C" w:rsidR="00833DF4" w:rsidRDefault="00833DF4" w:rsidP="00D22BED">
      <w:pPr>
        <w:rPr>
          <w:sz w:val="24"/>
          <w:szCs w:val="24"/>
        </w:rPr>
      </w:pPr>
      <w:r w:rsidRPr="005D10BB">
        <w:rPr>
          <w:sz w:val="24"/>
          <w:szCs w:val="24"/>
        </w:rPr>
        <w:t xml:space="preserve">- </w:t>
      </w:r>
      <w:r w:rsidRPr="00E07979">
        <w:rPr>
          <w:sz w:val="24"/>
          <w:szCs w:val="24"/>
          <w:u w:val="single"/>
        </w:rPr>
        <w:t xml:space="preserve">le budget annexe </w:t>
      </w:r>
      <w:r w:rsidR="00DC4E0C">
        <w:rPr>
          <w:sz w:val="24"/>
          <w:szCs w:val="24"/>
          <w:u w:val="single"/>
        </w:rPr>
        <w:t>assainissement collectif</w:t>
      </w:r>
      <w:r w:rsidR="00E07979">
        <w:rPr>
          <w:sz w:val="24"/>
          <w:szCs w:val="24"/>
        </w:rPr>
        <w:t xml:space="preserve">. </w:t>
      </w:r>
      <w:r w:rsidR="009312A6">
        <w:rPr>
          <w:sz w:val="24"/>
          <w:szCs w:val="24"/>
        </w:rPr>
        <w:t xml:space="preserve">Avant 2025 </w:t>
      </w:r>
      <w:r w:rsidR="00E07979" w:rsidRPr="00E07979">
        <w:rPr>
          <w:sz w:val="24"/>
          <w:szCs w:val="24"/>
        </w:rPr>
        <w:t xml:space="preserve">Charlieu Belmont Communauté </w:t>
      </w:r>
      <w:r w:rsidR="009312A6">
        <w:rPr>
          <w:sz w:val="24"/>
          <w:szCs w:val="24"/>
        </w:rPr>
        <w:t xml:space="preserve">gérait un service </w:t>
      </w:r>
      <w:r w:rsidR="00E07979" w:rsidRPr="00E07979">
        <w:rPr>
          <w:sz w:val="24"/>
          <w:szCs w:val="24"/>
        </w:rPr>
        <w:t xml:space="preserve">via un prestataire privé </w:t>
      </w:r>
      <w:r w:rsidR="009312A6">
        <w:rPr>
          <w:sz w:val="24"/>
          <w:szCs w:val="24"/>
        </w:rPr>
        <w:t>chargé du traitement de</w:t>
      </w:r>
      <w:r w:rsidR="00E07979" w:rsidRPr="00E07979">
        <w:rPr>
          <w:sz w:val="24"/>
          <w:szCs w:val="24"/>
        </w:rPr>
        <w:t>s boues issues des stations d’épuration de type boues activées ou filtre à sable.</w:t>
      </w:r>
      <w:r w:rsidR="00E07979">
        <w:rPr>
          <w:sz w:val="24"/>
          <w:szCs w:val="24"/>
        </w:rPr>
        <w:t xml:space="preserve"> </w:t>
      </w:r>
      <w:r w:rsidR="00E07979" w:rsidRPr="00E07979">
        <w:rPr>
          <w:sz w:val="24"/>
          <w:szCs w:val="24"/>
        </w:rPr>
        <w:t xml:space="preserve">Pour ce faire, un marché public a été signé avec </w:t>
      </w:r>
      <w:r w:rsidR="00D44804">
        <w:rPr>
          <w:sz w:val="24"/>
          <w:szCs w:val="24"/>
        </w:rPr>
        <w:t>un prestataire privé</w:t>
      </w:r>
      <w:r w:rsidR="00E07979" w:rsidRPr="00E07979">
        <w:rPr>
          <w:sz w:val="24"/>
          <w:szCs w:val="24"/>
        </w:rPr>
        <w:t xml:space="preserve">. Ce </w:t>
      </w:r>
      <w:r w:rsidR="00D44804">
        <w:rPr>
          <w:sz w:val="24"/>
          <w:szCs w:val="24"/>
        </w:rPr>
        <w:t>marché comprend également la gestion du</w:t>
      </w:r>
      <w:r w:rsidR="00E07979" w:rsidRPr="00E07979">
        <w:rPr>
          <w:sz w:val="24"/>
          <w:szCs w:val="24"/>
        </w:rPr>
        <w:t xml:space="preserve"> plan d’épandage permettant d’utiliser le produit obtenu comme fertilisant agricole.</w:t>
      </w:r>
      <w:r w:rsidR="00E07979">
        <w:rPr>
          <w:sz w:val="24"/>
          <w:szCs w:val="24"/>
        </w:rPr>
        <w:t xml:space="preserve"> </w:t>
      </w:r>
      <w:r w:rsidR="00E07979" w:rsidRPr="00E07979">
        <w:rPr>
          <w:sz w:val="24"/>
          <w:szCs w:val="24"/>
        </w:rPr>
        <w:t>La gestion des boues issues des autres types de traitement (filtres plantés ou lagunes) s’organise</w:t>
      </w:r>
      <w:r w:rsidR="00E07979">
        <w:rPr>
          <w:sz w:val="24"/>
          <w:szCs w:val="24"/>
        </w:rPr>
        <w:t xml:space="preserve"> </w:t>
      </w:r>
      <w:r w:rsidR="00E07979" w:rsidRPr="00E07979">
        <w:rPr>
          <w:sz w:val="24"/>
          <w:szCs w:val="24"/>
        </w:rPr>
        <w:t>selon des marchés de prestation en fonction des besoins.</w:t>
      </w:r>
      <w:r w:rsidR="00D22BED">
        <w:rPr>
          <w:sz w:val="24"/>
          <w:szCs w:val="24"/>
        </w:rPr>
        <w:t xml:space="preserve"> </w:t>
      </w:r>
      <w:r w:rsidR="009312A6">
        <w:rPr>
          <w:sz w:val="24"/>
          <w:szCs w:val="24"/>
        </w:rPr>
        <w:t>Au 1</w:t>
      </w:r>
      <w:r w:rsidR="009312A6" w:rsidRPr="009312A6">
        <w:rPr>
          <w:sz w:val="24"/>
          <w:szCs w:val="24"/>
          <w:vertAlign w:val="superscript"/>
        </w:rPr>
        <w:t>er</w:t>
      </w:r>
      <w:r w:rsidR="009312A6">
        <w:rPr>
          <w:sz w:val="24"/>
          <w:szCs w:val="24"/>
        </w:rPr>
        <w:t xml:space="preserve"> janvier 2025 le périmètre du budget a évolué suite à la prise de compétence complète de l’assainissement collectif. Ainsi le budget 2025 </w:t>
      </w:r>
      <w:r w:rsidR="00C338BF">
        <w:rPr>
          <w:sz w:val="24"/>
          <w:szCs w:val="24"/>
        </w:rPr>
        <w:t>a tracé</w:t>
      </w:r>
      <w:r w:rsidR="009312A6">
        <w:rPr>
          <w:sz w:val="24"/>
          <w:szCs w:val="24"/>
        </w:rPr>
        <w:t xml:space="preserve"> l’activité des services assainissement sur 23 communes</w:t>
      </w:r>
      <w:r w:rsidR="00C338BF">
        <w:rPr>
          <w:sz w:val="24"/>
          <w:szCs w:val="24"/>
        </w:rPr>
        <w:t>, il en va de même pour le budget 2026 :</w:t>
      </w:r>
    </w:p>
    <w:p w14:paraId="09431EE8" w14:textId="1760E1BB" w:rsidR="00C338BF" w:rsidRDefault="00C338BF" w:rsidP="007559FB">
      <w:pPr>
        <w:jc w:val="both"/>
        <w:rPr>
          <w:sz w:val="24"/>
          <w:szCs w:val="24"/>
        </w:rPr>
      </w:pPr>
      <w:r w:rsidRPr="00C338BF">
        <w:rPr>
          <w:noProof/>
          <w:sz w:val="24"/>
          <w:szCs w:val="24"/>
        </w:rPr>
        <w:drawing>
          <wp:inline distT="0" distB="0" distL="0" distR="0" wp14:anchorId="7AC08158" wp14:editId="472ED8A0">
            <wp:extent cx="6645910" cy="1238885"/>
            <wp:effectExtent l="0" t="0" r="2540" b="0"/>
            <wp:docPr id="170566978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669785" name=""/>
                    <pic:cNvPicPr/>
                  </pic:nvPicPr>
                  <pic:blipFill>
                    <a:blip r:embed="rId16"/>
                    <a:stretch>
                      <a:fillRect/>
                    </a:stretch>
                  </pic:blipFill>
                  <pic:spPr>
                    <a:xfrm>
                      <a:off x="0" y="0"/>
                      <a:ext cx="6645910" cy="1238885"/>
                    </a:xfrm>
                    <a:prstGeom prst="rect">
                      <a:avLst/>
                    </a:prstGeom>
                  </pic:spPr>
                </pic:pic>
              </a:graphicData>
            </a:graphic>
          </wp:inline>
        </w:drawing>
      </w:r>
    </w:p>
    <w:p w14:paraId="2C02CA94" w14:textId="43792496" w:rsidR="009312A6" w:rsidRDefault="00C338BF" w:rsidP="00D523E8">
      <w:pPr>
        <w:jc w:val="both"/>
        <w:rPr>
          <w:sz w:val="24"/>
          <w:szCs w:val="24"/>
        </w:rPr>
      </w:pPr>
      <w:r>
        <w:rPr>
          <w:sz w:val="24"/>
          <w:szCs w:val="24"/>
        </w:rPr>
        <w:t>Hors excédent reporté, l</w:t>
      </w:r>
      <w:r w:rsidR="009312A6" w:rsidRPr="00D523E8">
        <w:rPr>
          <w:sz w:val="24"/>
          <w:szCs w:val="24"/>
        </w:rPr>
        <w:t xml:space="preserve">es recettes proviennent à </w:t>
      </w:r>
      <w:r>
        <w:rPr>
          <w:sz w:val="24"/>
          <w:szCs w:val="24"/>
        </w:rPr>
        <w:t>82</w:t>
      </w:r>
      <w:r w:rsidR="009312A6" w:rsidRPr="00D523E8">
        <w:rPr>
          <w:sz w:val="24"/>
          <w:szCs w:val="24"/>
        </w:rPr>
        <w:t xml:space="preserve"> % d</w:t>
      </w:r>
      <w:r>
        <w:rPr>
          <w:sz w:val="24"/>
          <w:szCs w:val="24"/>
        </w:rPr>
        <w:t>es</w:t>
      </w:r>
      <w:r w:rsidR="009312A6" w:rsidRPr="00D523E8">
        <w:rPr>
          <w:sz w:val="24"/>
          <w:szCs w:val="24"/>
        </w:rPr>
        <w:t xml:space="preserve"> redevance</w:t>
      </w:r>
      <w:r>
        <w:rPr>
          <w:sz w:val="24"/>
          <w:szCs w:val="24"/>
        </w:rPr>
        <w:t>s</w:t>
      </w:r>
      <w:r w:rsidR="009312A6" w:rsidRPr="00D523E8">
        <w:rPr>
          <w:sz w:val="24"/>
          <w:szCs w:val="24"/>
        </w:rPr>
        <w:t xml:space="preserve"> assainissement</w:t>
      </w:r>
      <w:r w:rsidR="00D523E8">
        <w:rPr>
          <w:sz w:val="24"/>
          <w:szCs w:val="24"/>
        </w:rPr>
        <w:t xml:space="preserve"> (et des </w:t>
      </w:r>
      <w:r w:rsidR="009312A6" w:rsidRPr="00D523E8">
        <w:rPr>
          <w:sz w:val="24"/>
          <w:szCs w:val="24"/>
        </w:rPr>
        <w:t xml:space="preserve">participations forfaitaires et </w:t>
      </w:r>
      <w:r w:rsidR="00D523E8">
        <w:rPr>
          <w:sz w:val="24"/>
          <w:szCs w:val="24"/>
        </w:rPr>
        <w:t>autre</w:t>
      </w:r>
      <w:r w:rsidR="009312A6" w:rsidRPr="00D523E8">
        <w:rPr>
          <w:sz w:val="24"/>
          <w:szCs w:val="24"/>
        </w:rPr>
        <w:t xml:space="preserve"> remboursement de travaux de branchement</w:t>
      </w:r>
      <w:r w:rsidR="00D523E8">
        <w:rPr>
          <w:sz w:val="24"/>
          <w:szCs w:val="24"/>
        </w:rPr>
        <w:t>)</w:t>
      </w:r>
      <w:r w:rsidR="009312A6" w:rsidRPr="00D523E8">
        <w:rPr>
          <w:sz w:val="24"/>
          <w:szCs w:val="24"/>
        </w:rPr>
        <w:t>.</w:t>
      </w:r>
      <w:r w:rsidR="00D523E8">
        <w:rPr>
          <w:sz w:val="24"/>
          <w:szCs w:val="24"/>
        </w:rPr>
        <w:t xml:space="preserve"> </w:t>
      </w:r>
      <w:r w:rsidR="009312A6" w:rsidRPr="00D523E8">
        <w:rPr>
          <w:sz w:val="24"/>
          <w:szCs w:val="24"/>
        </w:rPr>
        <w:t>Les dépenses</w:t>
      </w:r>
      <w:r w:rsidR="00D523E8">
        <w:rPr>
          <w:sz w:val="24"/>
          <w:szCs w:val="24"/>
        </w:rPr>
        <w:t xml:space="preserve"> </w:t>
      </w:r>
      <w:r w:rsidR="009312A6" w:rsidRPr="00D523E8">
        <w:rPr>
          <w:sz w:val="24"/>
          <w:szCs w:val="24"/>
        </w:rPr>
        <w:t>sont quant à elle réparties ainsi en section de fonctionnement :</w:t>
      </w:r>
      <w:r w:rsidR="00D523E8">
        <w:rPr>
          <w:sz w:val="24"/>
          <w:szCs w:val="24"/>
        </w:rPr>
        <w:t xml:space="preserve"> </w:t>
      </w:r>
      <w:r>
        <w:rPr>
          <w:sz w:val="24"/>
          <w:szCs w:val="24"/>
        </w:rPr>
        <w:t>7.52</w:t>
      </w:r>
      <w:r w:rsidR="007D0EE9" w:rsidRPr="00D523E8">
        <w:rPr>
          <w:sz w:val="24"/>
          <w:szCs w:val="24"/>
        </w:rPr>
        <w:t xml:space="preserve"> % charges de personnel ; </w:t>
      </w:r>
      <w:r>
        <w:rPr>
          <w:sz w:val="24"/>
          <w:szCs w:val="24"/>
        </w:rPr>
        <w:t>5.96</w:t>
      </w:r>
      <w:r w:rsidR="007D0EE9" w:rsidRPr="00D523E8">
        <w:rPr>
          <w:sz w:val="24"/>
          <w:szCs w:val="24"/>
        </w:rPr>
        <w:t xml:space="preserve"> % charges financières</w:t>
      </w:r>
      <w:r w:rsidR="00D523E8">
        <w:rPr>
          <w:sz w:val="24"/>
          <w:szCs w:val="24"/>
        </w:rPr>
        <w:t xml:space="preserve"> ; </w:t>
      </w:r>
      <w:r>
        <w:rPr>
          <w:sz w:val="24"/>
          <w:szCs w:val="24"/>
        </w:rPr>
        <w:t>48.68</w:t>
      </w:r>
      <w:r w:rsidR="00D523E8">
        <w:rPr>
          <w:sz w:val="24"/>
          <w:szCs w:val="24"/>
        </w:rPr>
        <w:t xml:space="preserve"> % pour les charges de gestion courante (contrat de sous-traitance, énergie, entretien courant et redevance agence de l’eau…).</w:t>
      </w:r>
    </w:p>
    <w:p w14:paraId="612F86EA" w14:textId="51472730" w:rsidR="00D523E8" w:rsidRPr="00D523E8" w:rsidRDefault="00D523E8" w:rsidP="00D523E8">
      <w:pPr>
        <w:jc w:val="both"/>
        <w:rPr>
          <w:sz w:val="24"/>
          <w:szCs w:val="24"/>
        </w:rPr>
      </w:pPr>
      <w:r>
        <w:rPr>
          <w:sz w:val="24"/>
          <w:szCs w:val="24"/>
        </w:rPr>
        <w:t xml:space="preserve">En investissement plusieurs projets d’envergure sont repris par l’intercommunalité :  nouvelles stations à Belmont de la Loire </w:t>
      </w:r>
      <w:r w:rsidR="00C338BF">
        <w:rPr>
          <w:sz w:val="24"/>
          <w:szCs w:val="24"/>
        </w:rPr>
        <w:t xml:space="preserve">et à St Hilaire sous Charlieu </w:t>
      </w:r>
      <w:r>
        <w:rPr>
          <w:sz w:val="24"/>
          <w:szCs w:val="24"/>
        </w:rPr>
        <w:t>et des travaux sur les réseaux sur plusieurs secteurs du territoire.</w:t>
      </w:r>
    </w:p>
    <w:p w14:paraId="4EDD75EE" w14:textId="2B7FB2B5" w:rsidR="00200209" w:rsidRPr="002A79A5" w:rsidRDefault="00833DF4" w:rsidP="00200209">
      <w:pPr>
        <w:autoSpaceDE w:val="0"/>
        <w:autoSpaceDN w:val="0"/>
        <w:adjustRightInd w:val="0"/>
        <w:spacing w:after="0" w:line="240" w:lineRule="auto"/>
        <w:jc w:val="both"/>
        <w:rPr>
          <w:rFonts w:cstheme="minorHAnsi"/>
          <w:kern w:val="0"/>
          <w:sz w:val="24"/>
          <w:szCs w:val="24"/>
        </w:rPr>
      </w:pPr>
      <w:r w:rsidRPr="00D523E8">
        <w:rPr>
          <w:rFonts w:cstheme="minorHAnsi"/>
          <w:sz w:val="24"/>
          <w:szCs w:val="24"/>
          <w:u w:val="single"/>
        </w:rPr>
        <w:t>- le budget annexe déchets</w:t>
      </w:r>
      <w:r w:rsidRPr="002A79A5">
        <w:rPr>
          <w:rFonts w:cstheme="minorHAnsi"/>
          <w:sz w:val="24"/>
          <w:szCs w:val="24"/>
          <w:u w:val="single"/>
        </w:rPr>
        <w:t xml:space="preserve"> ménagers</w:t>
      </w:r>
      <w:r w:rsidR="00200209" w:rsidRPr="002A79A5">
        <w:rPr>
          <w:rFonts w:cstheme="minorHAnsi"/>
          <w:sz w:val="24"/>
          <w:szCs w:val="24"/>
        </w:rPr>
        <w:t xml:space="preserve"> retrace les comptes de cette compétence obligatoire pour la communauté de communes. </w:t>
      </w:r>
      <w:r w:rsidR="00200209" w:rsidRPr="002A79A5">
        <w:rPr>
          <w:rFonts w:cstheme="minorHAnsi"/>
          <w:kern w:val="0"/>
          <w:sz w:val="24"/>
          <w:szCs w:val="24"/>
        </w:rPr>
        <w:t xml:space="preserve">La collectivité assure la compétence collecte des déchets ménagers et assimilés mais a délégué le traitement au S.E.E.D.R. (Syndicats d’Etudes et d’Elimination des Déchets du Roannais) qui regroupe 4 Communautés de communes et une Communauté d’Agglomération, soit </w:t>
      </w:r>
      <w:r w:rsidR="00C338BF">
        <w:rPr>
          <w:rFonts w:cstheme="minorHAnsi"/>
          <w:kern w:val="0"/>
          <w:sz w:val="24"/>
          <w:szCs w:val="24"/>
        </w:rPr>
        <w:t xml:space="preserve">près de </w:t>
      </w:r>
      <w:r w:rsidR="00200209" w:rsidRPr="002A79A5">
        <w:rPr>
          <w:rFonts w:cstheme="minorHAnsi"/>
          <w:kern w:val="0"/>
          <w:sz w:val="24"/>
          <w:szCs w:val="24"/>
        </w:rPr>
        <w:t>1</w:t>
      </w:r>
      <w:r w:rsidR="00C338BF">
        <w:rPr>
          <w:rFonts w:cstheme="minorHAnsi"/>
          <w:kern w:val="0"/>
          <w:sz w:val="24"/>
          <w:szCs w:val="24"/>
        </w:rPr>
        <w:t xml:space="preserve">50 000 </w:t>
      </w:r>
      <w:r w:rsidR="00200209" w:rsidRPr="002A79A5">
        <w:rPr>
          <w:rFonts w:cstheme="minorHAnsi"/>
          <w:kern w:val="0"/>
          <w:sz w:val="24"/>
          <w:szCs w:val="24"/>
        </w:rPr>
        <w:t>habitants.</w:t>
      </w:r>
    </w:p>
    <w:p w14:paraId="1ED65845" w14:textId="795C6027" w:rsidR="00833DF4" w:rsidRPr="002A79A5" w:rsidRDefault="00200209" w:rsidP="006A5EE9">
      <w:pPr>
        <w:autoSpaceDE w:val="0"/>
        <w:autoSpaceDN w:val="0"/>
        <w:adjustRightInd w:val="0"/>
        <w:spacing w:after="0" w:line="240" w:lineRule="auto"/>
        <w:jc w:val="both"/>
        <w:rPr>
          <w:rFonts w:cstheme="minorHAnsi"/>
          <w:sz w:val="24"/>
          <w:szCs w:val="24"/>
        </w:rPr>
      </w:pPr>
      <w:r w:rsidRPr="002A79A5">
        <w:rPr>
          <w:rFonts w:cstheme="minorHAnsi"/>
          <w:kern w:val="0"/>
          <w:sz w:val="24"/>
          <w:szCs w:val="24"/>
        </w:rPr>
        <w:t>La collectivité a mis en place plusieurs outils de réduction des tonnages des ordures ménagères : tri sélectif en Points d’Apport Volontaire (PAV), ouverture de deux déchèteries, collecte des encombrants auprès des personnes âgées ou à mobilité réduite ne disposant pas de moyen de locomotion, collecte des cartons auprès des artisans/commerçants</w:t>
      </w:r>
      <w:r w:rsidR="00EE4B4F">
        <w:rPr>
          <w:rFonts w:cstheme="minorHAnsi"/>
          <w:kern w:val="0"/>
          <w:sz w:val="24"/>
          <w:szCs w:val="24"/>
        </w:rPr>
        <w:t>, v</w:t>
      </w:r>
      <w:r w:rsidRPr="002A79A5">
        <w:rPr>
          <w:rFonts w:cstheme="minorHAnsi"/>
          <w:kern w:val="0"/>
          <w:sz w:val="24"/>
          <w:szCs w:val="24"/>
        </w:rPr>
        <w:t>ente de composteurs individuels</w:t>
      </w:r>
      <w:r w:rsidR="00EE4B4F">
        <w:rPr>
          <w:rFonts w:cstheme="minorHAnsi"/>
          <w:kern w:val="0"/>
          <w:sz w:val="24"/>
          <w:szCs w:val="24"/>
        </w:rPr>
        <w:t xml:space="preserve"> et</w:t>
      </w:r>
      <w:r w:rsidRPr="002A79A5">
        <w:rPr>
          <w:rFonts w:cstheme="minorHAnsi"/>
          <w:kern w:val="0"/>
          <w:sz w:val="24"/>
          <w:szCs w:val="24"/>
        </w:rPr>
        <w:t xml:space="preserve"> installation de composteurs collectifs.</w:t>
      </w:r>
    </w:p>
    <w:p w14:paraId="76842EC2" w14:textId="23979644" w:rsidR="002A79A5" w:rsidRPr="002A79A5" w:rsidRDefault="00AC1B66" w:rsidP="006A5EE9">
      <w:pPr>
        <w:spacing w:after="0"/>
        <w:jc w:val="both"/>
        <w:rPr>
          <w:rFonts w:cstheme="minorHAnsi"/>
          <w:sz w:val="24"/>
          <w:szCs w:val="24"/>
        </w:rPr>
      </w:pPr>
      <w:r w:rsidRPr="002A79A5">
        <w:rPr>
          <w:rFonts w:cstheme="minorHAnsi"/>
          <w:sz w:val="24"/>
          <w:szCs w:val="24"/>
        </w:rPr>
        <w:t xml:space="preserve">Là encore ce budget doit s’équilibrer en dépenses </w:t>
      </w:r>
      <w:r w:rsidR="002A79A5" w:rsidRPr="002A79A5">
        <w:rPr>
          <w:rFonts w:cstheme="minorHAnsi"/>
          <w:sz w:val="24"/>
          <w:szCs w:val="24"/>
        </w:rPr>
        <w:t xml:space="preserve">et </w:t>
      </w:r>
      <w:r w:rsidRPr="002A79A5">
        <w:rPr>
          <w:rFonts w:cstheme="minorHAnsi"/>
          <w:sz w:val="24"/>
          <w:szCs w:val="24"/>
        </w:rPr>
        <w:t xml:space="preserve">en recettes grâce aux redevances </w:t>
      </w:r>
      <w:r w:rsidR="002A79A5" w:rsidRPr="002A79A5">
        <w:rPr>
          <w:rFonts w:cstheme="minorHAnsi"/>
          <w:sz w:val="24"/>
          <w:szCs w:val="24"/>
        </w:rPr>
        <w:t>payées par les usagers du service. Ainsi les redevances représentent 7</w:t>
      </w:r>
      <w:r w:rsidR="00BD0A30">
        <w:rPr>
          <w:rFonts w:cstheme="minorHAnsi"/>
          <w:sz w:val="24"/>
          <w:szCs w:val="24"/>
        </w:rPr>
        <w:t xml:space="preserve">1.21 </w:t>
      </w:r>
      <w:r w:rsidR="002A79A5" w:rsidRPr="002A79A5">
        <w:rPr>
          <w:rFonts w:cstheme="minorHAnsi"/>
          <w:sz w:val="24"/>
          <w:szCs w:val="24"/>
        </w:rPr>
        <w:t>% de l’ensemble des recettes (hors excédent reporté)</w:t>
      </w:r>
      <w:r w:rsidR="00AA2198">
        <w:rPr>
          <w:rFonts w:cstheme="minorHAnsi"/>
          <w:sz w:val="24"/>
          <w:szCs w:val="24"/>
        </w:rPr>
        <w:t xml:space="preserve">, les soutiens de CITEO et autres eco-organismes représentent </w:t>
      </w:r>
      <w:r w:rsidR="00BD0A30">
        <w:rPr>
          <w:rFonts w:cstheme="minorHAnsi"/>
          <w:sz w:val="24"/>
          <w:szCs w:val="24"/>
        </w:rPr>
        <w:t>16.18</w:t>
      </w:r>
      <w:r w:rsidR="00AA2198">
        <w:rPr>
          <w:rFonts w:cstheme="minorHAnsi"/>
          <w:sz w:val="24"/>
          <w:szCs w:val="24"/>
        </w:rPr>
        <w:t>%, quant aux reventes de matériaux elles</w:t>
      </w:r>
      <w:r w:rsidR="00C67735">
        <w:rPr>
          <w:rFonts w:cstheme="minorHAnsi"/>
          <w:sz w:val="24"/>
          <w:szCs w:val="24"/>
        </w:rPr>
        <w:t xml:space="preserve"> couvrent </w:t>
      </w:r>
      <w:r w:rsidR="00BD0A30">
        <w:rPr>
          <w:rFonts w:cstheme="minorHAnsi"/>
          <w:sz w:val="24"/>
          <w:szCs w:val="24"/>
        </w:rPr>
        <w:t xml:space="preserve">5.32 </w:t>
      </w:r>
      <w:r w:rsidR="00C67735">
        <w:rPr>
          <w:rFonts w:cstheme="minorHAnsi"/>
          <w:sz w:val="24"/>
          <w:szCs w:val="24"/>
        </w:rPr>
        <w:t>% des recettes.</w:t>
      </w:r>
    </w:p>
    <w:p w14:paraId="3CA79A96" w14:textId="77777777" w:rsidR="00AC1B66" w:rsidRDefault="00AC1B66" w:rsidP="00D22BED">
      <w:pPr>
        <w:spacing w:after="0"/>
        <w:jc w:val="both"/>
        <w:rPr>
          <w:sz w:val="24"/>
          <w:szCs w:val="24"/>
        </w:rPr>
      </w:pPr>
      <w:r>
        <w:rPr>
          <w:sz w:val="24"/>
          <w:szCs w:val="24"/>
        </w:rPr>
        <w:t>Les principaux postes de dépenses en fonctionnement sont répartis ainsi :</w:t>
      </w:r>
    </w:p>
    <w:p w14:paraId="04E23421" w14:textId="5AD17873" w:rsidR="00AC1B66" w:rsidRDefault="00AC1B66" w:rsidP="00D22BED">
      <w:pPr>
        <w:spacing w:after="0"/>
        <w:jc w:val="both"/>
        <w:rPr>
          <w:sz w:val="24"/>
          <w:szCs w:val="24"/>
        </w:rPr>
      </w:pPr>
      <w:r>
        <w:rPr>
          <w:sz w:val="24"/>
          <w:szCs w:val="24"/>
        </w:rPr>
        <w:t xml:space="preserve">- les charges à caractère général </w:t>
      </w:r>
      <w:r w:rsidR="00AA2198">
        <w:rPr>
          <w:sz w:val="24"/>
          <w:szCs w:val="24"/>
        </w:rPr>
        <w:t xml:space="preserve">pour </w:t>
      </w:r>
      <w:r w:rsidR="005653ED">
        <w:rPr>
          <w:sz w:val="24"/>
          <w:szCs w:val="24"/>
        </w:rPr>
        <w:t>un peu plus de 7</w:t>
      </w:r>
      <w:r w:rsidR="00AA2198">
        <w:rPr>
          <w:sz w:val="24"/>
          <w:szCs w:val="24"/>
        </w:rPr>
        <w:t xml:space="preserve"> </w:t>
      </w:r>
      <w:r>
        <w:rPr>
          <w:sz w:val="24"/>
          <w:szCs w:val="24"/>
        </w:rPr>
        <w:t>%</w:t>
      </w:r>
      <w:r w:rsidR="00AA2198">
        <w:rPr>
          <w:sz w:val="24"/>
          <w:szCs w:val="24"/>
        </w:rPr>
        <w:t xml:space="preserve"> (énergie, fournitures, entretien, assurances, charges locatives, transports, communication…) et </w:t>
      </w:r>
      <w:r w:rsidR="00BD0A30">
        <w:rPr>
          <w:sz w:val="24"/>
          <w:szCs w:val="24"/>
        </w:rPr>
        <w:t>30.73</w:t>
      </w:r>
      <w:r w:rsidR="00AA2198">
        <w:rPr>
          <w:sz w:val="24"/>
          <w:szCs w:val="24"/>
        </w:rPr>
        <w:t xml:space="preserve"> % pour les seules prestations de collecte des ordures ménagères, du tri sélectif et des bennes de déchèteries.</w:t>
      </w:r>
    </w:p>
    <w:p w14:paraId="74F67BF9" w14:textId="26242D84" w:rsidR="00AC1B66" w:rsidRDefault="00AC1B66" w:rsidP="006A5EE9">
      <w:pPr>
        <w:spacing w:after="0"/>
        <w:rPr>
          <w:sz w:val="24"/>
          <w:szCs w:val="24"/>
        </w:rPr>
      </w:pPr>
      <w:r>
        <w:rPr>
          <w:sz w:val="24"/>
          <w:szCs w:val="24"/>
        </w:rPr>
        <w:t xml:space="preserve">- les charges de personnel </w:t>
      </w:r>
      <w:r w:rsidR="005653ED">
        <w:rPr>
          <w:sz w:val="24"/>
          <w:szCs w:val="24"/>
        </w:rPr>
        <w:t>1</w:t>
      </w:r>
      <w:r w:rsidR="00BD0A30">
        <w:rPr>
          <w:sz w:val="24"/>
          <w:szCs w:val="24"/>
        </w:rPr>
        <w:t>9.70</w:t>
      </w:r>
      <w:r w:rsidR="00AA2198">
        <w:rPr>
          <w:sz w:val="24"/>
          <w:szCs w:val="24"/>
        </w:rPr>
        <w:t xml:space="preserve"> </w:t>
      </w:r>
      <w:r>
        <w:rPr>
          <w:sz w:val="24"/>
          <w:szCs w:val="24"/>
        </w:rPr>
        <w:t>%</w:t>
      </w:r>
    </w:p>
    <w:p w14:paraId="14BECF37" w14:textId="519F5463" w:rsidR="00AC1B66" w:rsidRDefault="00AC1B66" w:rsidP="006A5EE9">
      <w:pPr>
        <w:spacing w:after="0"/>
        <w:rPr>
          <w:sz w:val="24"/>
          <w:szCs w:val="24"/>
        </w:rPr>
      </w:pPr>
      <w:r>
        <w:rPr>
          <w:sz w:val="24"/>
          <w:szCs w:val="24"/>
        </w:rPr>
        <w:t>-</w:t>
      </w:r>
      <w:r w:rsidR="00AA2198">
        <w:rPr>
          <w:sz w:val="24"/>
          <w:szCs w:val="24"/>
        </w:rPr>
        <w:t xml:space="preserve">- les coûts de traitement (dont TGAP) </w:t>
      </w:r>
      <w:r w:rsidR="005653ED">
        <w:rPr>
          <w:sz w:val="24"/>
          <w:szCs w:val="24"/>
        </w:rPr>
        <w:t>27.</w:t>
      </w:r>
      <w:r w:rsidR="00BD0A30">
        <w:rPr>
          <w:sz w:val="24"/>
          <w:szCs w:val="24"/>
        </w:rPr>
        <w:t>22</w:t>
      </w:r>
      <w:r w:rsidR="00AA2198">
        <w:rPr>
          <w:sz w:val="24"/>
          <w:szCs w:val="24"/>
        </w:rPr>
        <w:t>%</w:t>
      </w:r>
    </w:p>
    <w:p w14:paraId="0B63AACC" w14:textId="4C84D2B0" w:rsidR="00C67735" w:rsidRDefault="00C67735" w:rsidP="006A5EE9">
      <w:pPr>
        <w:spacing w:after="0"/>
        <w:rPr>
          <w:sz w:val="24"/>
          <w:szCs w:val="24"/>
        </w:rPr>
      </w:pPr>
      <w:r w:rsidRPr="006A5EE9">
        <w:rPr>
          <w:sz w:val="24"/>
          <w:szCs w:val="24"/>
        </w:rPr>
        <w:lastRenderedPageBreak/>
        <w:t xml:space="preserve">Plusieurs programmes sont ouverts en section d’investissement, tout d’abords pour les acquisitions de bacs ordures ménagères, </w:t>
      </w:r>
      <w:r w:rsidR="00BD0A30">
        <w:rPr>
          <w:sz w:val="24"/>
          <w:szCs w:val="24"/>
        </w:rPr>
        <w:t>d</w:t>
      </w:r>
      <w:r w:rsidRPr="006A5EE9">
        <w:rPr>
          <w:sz w:val="24"/>
          <w:szCs w:val="24"/>
        </w:rPr>
        <w:t>es colonnes de tri, et les bennes mais aussi les programmes pour le renouvellement des matériels et un pour les travaux sur les sites de déchèteries.</w:t>
      </w:r>
    </w:p>
    <w:p w14:paraId="0800F1AB" w14:textId="77777777" w:rsidR="00D22BED" w:rsidRDefault="00D22BED" w:rsidP="006A5EE9">
      <w:pPr>
        <w:spacing w:after="0"/>
        <w:rPr>
          <w:sz w:val="24"/>
          <w:szCs w:val="24"/>
        </w:rPr>
      </w:pPr>
    </w:p>
    <w:p w14:paraId="01088156" w14:textId="283DC817" w:rsidR="00BD0A30" w:rsidRDefault="00BD0A30" w:rsidP="006A5EE9">
      <w:pPr>
        <w:spacing w:after="0"/>
        <w:rPr>
          <w:sz w:val="24"/>
          <w:szCs w:val="24"/>
        </w:rPr>
      </w:pPr>
      <w:r w:rsidRPr="00BD0A30">
        <w:rPr>
          <w:noProof/>
          <w:sz w:val="24"/>
          <w:szCs w:val="24"/>
        </w:rPr>
        <w:drawing>
          <wp:inline distT="0" distB="0" distL="0" distR="0" wp14:anchorId="6531DA0B" wp14:editId="3482947C">
            <wp:extent cx="6645910" cy="1163955"/>
            <wp:effectExtent l="0" t="0" r="2540" b="0"/>
            <wp:docPr id="5705619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561923" name=""/>
                    <pic:cNvPicPr/>
                  </pic:nvPicPr>
                  <pic:blipFill>
                    <a:blip r:embed="rId17"/>
                    <a:stretch>
                      <a:fillRect/>
                    </a:stretch>
                  </pic:blipFill>
                  <pic:spPr>
                    <a:xfrm>
                      <a:off x="0" y="0"/>
                      <a:ext cx="6645910" cy="1163955"/>
                    </a:xfrm>
                    <a:prstGeom prst="rect">
                      <a:avLst/>
                    </a:prstGeom>
                  </pic:spPr>
                </pic:pic>
              </a:graphicData>
            </a:graphic>
          </wp:inline>
        </w:drawing>
      </w:r>
    </w:p>
    <w:p w14:paraId="17A1D480" w14:textId="77777777" w:rsidR="00BD0A30" w:rsidRDefault="00BD0A30" w:rsidP="006A5EE9">
      <w:pPr>
        <w:spacing w:after="0"/>
        <w:rPr>
          <w:sz w:val="24"/>
          <w:szCs w:val="24"/>
        </w:rPr>
      </w:pPr>
    </w:p>
    <w:p w14:paraId="5EC67B26" w14:textId="77777777" w:rsidR="00D22BED" w:rsidRDefault="00BD0A30" w:rsidP="00D22BED">
      <w:pPr>
        <w:jc w:val="both"/>
        <w:rPr>
          <w:sz w:val="24"/>
          <w:szCs w:val="24"/>
        </w:rPr>
      </w:pPr>
      <w:r w:rsidRPr="005D10BB">
        <w:rPr>
          <w:sz w:val="24"/>
          <w:szCs w:val="24"/>
        </w:rPr>
        <w:t xml:space="preserve">- </w:t>
      </w:r>
      <w:r w:rsidRPr="00E07979">
        <w:rPr>
          <w:sz w:val="24"/>
          <w:szCs w:val="24"/>
          <w:u w:val="single"/>
        </w:rPr>
        <w:t xml:space="preserve">le budget annexe </w:t>
      </w:r>
      <w:r>
        <w:rPr>
          <w:sz w:val="24"/>
          <w:szCs w:val="24"/>
          <w:u w:val="single"/>
        </w:rPr>
        <w:t>eau potable</w:t>
      </w:r>
      <w:r>
        <w:rPr>
          <w:sz w:val="24"/>
          <w:szCs w:val="24"/>
        </w:rPr>
        <w:t>. Au 1</w:t>
      </w:r>
      <w:r w:rsidRPr="009312A6">
        <w:rPr>
          <w:sz w:val="24"/>
          <w:szCs w:val="24"/>
          <w:vertAlign w:val="superscript"/>
        </w:rPr>
        <w:t>er</w:t>
      </w:r>
      <w:r>
        <w:rPr>
          <w:sz w:val="24"/>
          <w:szCs w:val="24"/>
        </w:rPr>
        <w:t xml:space="preserve"> janvier 2026 le transfert de compétence est effectif et un budget intercommunal a été voté pour retracer l’activité des services eau potable sur les 6 communes en régie directe, ainsi que sur l’ancien périmètre du SIADEP, Belmont de la Loire, Cuinzier et Charlieu où le service d’eau potable est délégué à un prestataire privé.</w:t>
      </w:r>
    </w:p>
    <w:p w14:paraId="65B4CE7F" w14:textId="31B7445D" w:rsidR="00BD0A30" w:rsidRDefault="00624B89" w:rsidP="00D22BED">
      <w:pPr>
        <w:jc w:val="both"/>
        <w:rPr>
          <w:sz w:val="24"/>
          <w:szCs w:val="24"/>
        </w:rPr>
      </w:pPr>
      <w:r>
        <w:rPr>
          <w:sz w:val="24"/>
          <w:szCs w:val="24"/>
        </w:rPr>
        <w:t xml:space="preserve"> </w:t>
      </w:r>
      <w:r w:rsidR="00DF2080" w:rsidRPr="00DF2080">
        <w:rPr>
          <w:noProof/>
          <w:sz w:val="24"/>
          <w:szCs w:val="24"/>
        </w:rPr>
        <w:drawing>
          <wp:inline distT="0" distB="0" distL="0" distR="0" wp14:anchorId="42C59795" wp14:editId="61177CDD">
            <wp:extent cx="6645910" cy="1204595"/>
            <wp:effectExtent l="0" t="0" r="2540" b="0"/>
            <wp:docPr id="6255300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53000" name=""/>
                    <pic:cNvPicPr/>
                  </pic:nvPicPr>
                  <pic:blipFill>
                    <a:blip r:embed="rId18"/>
                    <a:stretch>
                      <a:fillRect/>
                    </a:stretch>
                  </pic:blipFill>
                  <pic:spPr>
                    <a:xfrm>
                      <a:off x="0" y="0"/>
                      <a:ext cx="6645910" cy="1204595"/>
                    </a:xfrm>
                    <a:prstGeom prst="rect">
                      <a:avLst/>
                    </a:prstGeom>
                  </pic:spPr>
                </pic:pic>
              </a:graphicData>
            </a:graphic>
          </wp:inline>
        </w:drawing>
      </w:r>
    </w:p>
    <w:p w14:paraId="35F87161" w14:textId="2743E146" w:rsidR="00DC4E0C" w:rsidRDefault="006C1F56" w:rsidP="006C1F56">
      <w:pPr>
        <w:spacing w:after="0"/>
        <w:jc w:val="both"/>
        <w:rPr>
          <w:sz w:val="24"/>
          <w:szCs w:val="24"/>
        </w:rPr>
      </w:pPr>
      <w:r>
        <w:rPr>
          <w:sz w:val="24"/>
          <w:szCs w:val="24"/>
        </w:rPr>
        <w:t>Les recettes du service proviennent des redevances des usagers pour 85.41%</w:t>
      </w:r>
      <w:r w:rsidR="00D22BED">
        <w:rPr>
          <w:sz w:val="24"/>
          <w:szCs w:val="24"/>
        </w:rPr>
        <w:t>.</w:t>
      </w:r>
      <w:r>
        <w:rPr>
          <w:sz w:val="24"/>
          <w:szCs w:val="24"/>
        </w:rPr>
        <w:t xml:space="preserve"> Quant aux charges de fonctionnement elles se répartissent ainsi : 25.71% pour les charges à caractère général, 17 % pour les charges de personnel, 3% pour les charges financières, l’essentiel des charges étant la constitution d’amortissement pour assurer le renouvellement des installations (42.76%). </w:t>
      </w:r>
    </w:p>
    <w:p w14:paraId="70EA5C12" w14:textId="79466C96" w:rsidR="006C1F56" w:rsidRDefault="006C1F56" w:rsidP="006C1F56">
      <w:pPr>
        <w:spacing w:after="0"/>
        <w:jc w:val="both"/>
        <w:rPr>
          <w:sz w:val="24"/>
          <w:szCs w:val="24"/>
        </w:rPr>
      </w:pPr>
      <w:r>
        <w:rPr>
          <w:sz w:val="24"/>
          <w:szCs w:val="24"/>
        </w:rPr>
        <w:t>En 2026</w:t>
      </w:r>
      <w:r w:rsidR="00D22BED">
        <w:rPr>
          <w:sz w:val="24"/>
          <w:szCs w:val="24"/>
        </w:rPr>
        <w:t>,</w:t>
      </w:r>
      <w:r>
        <w:rPr>
          <w:sz w:val="24"/>
          <w:szCs w:val="24"/>
        </w:rPr>
        <w:t xml:space="preserve"> des travaux conséquents sont à conduire et sont prévus à la section d’investissement : la poursuite des études de schémas directeurs, l’engagement dans le programme de la nouvelle usine d’eau potable sur Briennon mais aussi les renouvellements de conduites sur certains secteurs.</w:t>
      </w:r>
    </w:p>
    <w:sectPr w:rsidR="006C1F56" w:rsidSect="009E2A65">
      <w:headerReference w:type="default" r:id="rId19"/>
      <w:pgSz w:w="11906" w:h="16838"/>
      <w:pgMar w:top="720" w:right="720" w:bottom="720" w:left="720"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04E722" w14:textId="77777777" w:rsidR="00B66B81" w:rsidRDefault="00B66B81" w:rsidP="00E802F4">
      <w:pPr>
        <w:spacing w:after="0" w:line="240" w:lineRule="auto"/>
      </w:pPr>
      <w:r>
        <w:separator/>
      </w:r>
    </w:p>
  </w:endnote>
  <w:endnote w:type="continuationSeparator" w:id="0">
    <w:p w14:paraId="68C5703C" w14:textId="77777777" w:rsidR="00B66B81" w:rsidRDefault="00B66B81" w:rsidP="00E802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19DBAD" w14:textId="77777777" w:rsidR="00B66B81" w:rsidRDefault="00B66B81" w:rsidP="00E802F4">
      <w:pPr>
        <w:spacing w:after="0" w:line="240" w:lineRule="auto"/>
      </w:pPr>
      <w:r>
        <w:separator/>
      </w:r>
    </w:p>
  </w:footnote>
  <w:footnote w:type="continuationSeparator" w:id="0">
    <w:p w14:paraId="1A1A87F0" w14:textId="77777777" w:rsidR="00B66B81" w:rsidRDefault="00B66B81" w:rsidP="00E802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9060C" w14:textId="288BC198" w:rsidR="00E802F4" w:rsidRPr="00E802F4" w:rsidRDefault="00E802F4" w:rsidP="00E802F4">
    <w:pPr>
      <w:pStyle w:val="En-tte"/>
    </w:pPr>
    <w:r>
      <w:rPr>
        <w:noProof/>
      </w:rPr>
      <w:drawing>
        <wp:inline distT="0" distB="0" distL="0" distR="0" wp14:anchorId="148EA6D5" wp14:editId="2B66EB9D">
          <wp:extent cx="5760720" cy="205105"/>
          <wp:effectExtent l="0" t="0" r="0" b="4445"/>
          <wp:docPr id="1265644978" name="Image 4">
            <a:extLst xmlns:a="http://schemas.openxmlformats.org/drawingml/2006/main">
              <a:ext uri="{FF2B5EF4-FFF2-40B4-BE49-F238E27FC236}">
                <a16:creationId xmlns:a16="http://schemas.microsoft.com/office/drawing/2014/main" id="{E8EA2C2E-29C9-A09E-5058-08145D2E003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a:extLst>
                      <a:ext uri="{FF2B5EF4-FFF2-40B4-BE49-F238E27FC236}">
                        <a16:creationId xmlns:a16="http://schemas.microsoft.com/office/drawing/2014/main" id="{E8EA2C2E-29C9-A09E-5058-08145D2E003B}"/>
                      </a:ext>
                    </a:extLst>
                  </pic:cNvPr>
                  <pic:cNvPicPr>
                    <a:picLocks noChangeAspect="1"/>
                  </pic:cNvPicPr>
                </pic:nvPicPr>
                <pic:blipFill>
                  <a:blip r:embed="rId1"/>
                  <a:stretch>
                    <a:fillRect/>
                  </a:stretch>
                </pic:blipFill>
                <pic:spPr>
                  <a:xfrm>
                    <a:off x="0" y="0"/>
                    <a:ext cx="5760720" cy="20510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3C3"/>
    <w:rsid w:val="0001243B"/>
    <w:rsid w:val="001055F9"/>
    <w:rsid w:val="00200209"/>
    <w:rsid w:val="00214CEF"/>
    <w:rsid w:val="002201F7"/>
    <w:rsid w:val="00253951"/>
    <w:rsid w:val="00254953"/>
    <w:rsid w:val="00265813"/>
    <w:rsid w:val="00272F8F"/>
    <w:rsid w:val="002836FB"/>
    <w:rsid w:val="002A54A0"/>
    <w:rsid w:val="002A79A5"/>
    <w:rsid w:val="002B4F0D"/>
    <w:rsid w:val="00337C6B"/>
    <w:rsid w:val="00363598"/>
    <w:rsid w:val="00461967"/>
    <w:rsid w:val="0054683D"/>
    <w:rsid w:val="005653ED"/>
    <w:rsid w:val="005D10BB"/>
    <w:rsid w:val="005E2614"/>
    <w:rsid w:val="00613D50"/>
    <w:rsid w:val="00624B89"/>
    <w:rsid w:val="006A4DF2"/>
    <w:rsid w:val="006A5EE9"/>
    <w:rsid w:val="006B4935"/>
    <w:rsid w:val="006C1F56"/>
    <w:rsid w:val="006F03C3"/>
    <w:rsid w:val="00705531"/>
    <w:rsid w:val="00712FED"/>
    <w:rsid w:val="00721532"/>
    <w:rsid w:val="007559FB"/>
    <w:rsid w:val="00760FBB"/>
    <w:rsid w:val="007622EE"/>
    <w:rsid w:val="007A01D9"/>
    <w:rsid w:val="007D0EE9"/>
    <w:rsid w:val="00833DF4"/>
    <w:rsid w:val="009021C1"/>
    <w:rsid w:val="009312A6"/>
    <w:rsid w:val="00954F38"/>
    <w:rsid w:val="00975D27"/>
    <w:rsid w:val="00997791"/>
    <w:rsid w:val="009E2A65"/>
    <w:rsid w:val="00A42C0A"/>
    <w:rsid w:val="00A81EDA"/>
    <w:rsid w:val="00AA2198"/>
    <w:rsid w:val="00AB4FFE"/>
    <w:rsid w:val="00AC169B"/>
    <w:rsid w:val="00AC1B66"/>
    <w:rsid w:val="00AC60D1"/>
    <w:rsid w:val="00AE44D2"/>
    <w:rsid w:val="00B3171B"/>
    <w:rsid w:val="00B66B81"/>
    <w:rsid w:val="00BD0A30"/>
    <w:rsid w:val="00C338BF"/>
    <w:rsid w:val="00C35884"/>
    <w:rsid w:val="00C50A8D"/>
    <w:rsid w:val="00C67735"/>
    <w:rsid w:val="00CA21E9"/>
    <w:rsid w:val="00D22BED"/>
    <w:rsid w:val="00D26A0C"/>
    <w:rsid w:val="00D446C4"/>
    <w:rsid w:val="00D44804"/>
    <w:rsid w:val="00D523E8"/>
    <w:rsid w:val="00DB4C9E"/>
    <w:rsid w:val="00DC4E0C"/>
    <w:rsid w:val="00DF2080"/>
    <w:rsid w:val="00E07979"/>
    <w:rsid w:val="00E2434F"/>
    <w:rsid w:val="00E2745C"/>
    <w:rsid w:val="00E433A7"/>
    <w:rsid w:val="00E53570"/>
    <w:rsid w:val="00E56751"/>
    <w:rsid w:val="00E619EE"/>
    <w:rsid w:val="00E640DD"/>
    <w:rsid w:val="00E802F4"/>
    <w:rsid w:val="00E80964"/>
    <w:rsid w:val="00EE4B4F"/>
    <w:rsid w:val="00F506AC"/>
    <w:rsid w:val="00F84F1B"/>
    <w:rsid w:val="00FC6C8C"/>
    <w:rsid w:val="00FF296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EEC048"/>
  <w15:chartTrackingRefBased/>
  <w15:docId w15:val="{282E85C5-2ED1-4648-AA8B-A4B7759F7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802F4"/>
    <w:pPr>
      <w:tabs>
        <w:tab w:val="center" w:pos="4536"/>
        <w:tab w:val="right" w:pos="9072"/>
      </w:tabs>
      <w:spacing w:after="0" w:line="240" w:lineRule="auto"/>
    </w:pPr>
  </w:style>
  <w:style w:type="character" w:customStyle="1" w:styleId="En-tteCar">
    <w:name w:val="En-tête Car"/>
    <w:basedOn w:val="Policepardfaut"/>
    <w:link w:val="En-tte"/>
    <w:uiPriority w:val="99"/>
    <w:rsid w:val="00E802F4"/>
  </w:style>
  <w:style w:type="paragraph" w:styleId="Pieddepage">
    <w:name w:val="footer"/>
    <w:basedOn w:val="Normal"/>
    <w:link w:val="PieddepageCar"/>
    <w:uiPriority w:val="99"/>
    <w:unhideWhenUsed/>
    <w:rsid w:val="00E802F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802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C96A9C-441E-411E-955A-0AE9595DE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6</Pages>
  <Words>1794</Words>
  <Characters>9871</Characters>
  <Application>Microsoft Office Word</Application>
  <DocSecurity>0</DocSecurity>
  <Lines>82</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charlieu belmont</dc:creator>
  <cp:keywords/>
  <dc:description/>
  <cp:lastModifiedBy>animatricegenerale</cp:lastModifiedBy>
  <cp:revision>11</cp:revision>
  <cp:lastPrinted>2026-03-13T12:42:00Z</cp:lastPrinted>
  <dcterms:created xsi:type="dcterms:W3CDTF">2026-03-13T10:59:00Z</dcterms:created>
  <dcterms:modified xsi:type="dcterms:W3CDTF">2026-03-16T10:17:00Z</dcterms:modified>
</cp:coreProperties>
</file>